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69B799DC" w:rsidR="007A5B38" w:rsidRPr="000819E9" w:rsidRDefault="007A5B38" w:rsidP="007A5B38">
      <w:pPr>
        <w:pStyle w:val="3GPPHeader"/>
        <w:rPr>
          <w:highlight w:val="yellow"/>
          <w:lang w:val="en-AU"/>
        </w:rPr>
      </w:pPr>
      <w:bookmarkStart w:id="0" w:name="_Hlk489988649"/>
      <w:bookmarkStart w:id="1" w:name="_GoBack"/>
      <w:bookmarkEnd w:id="0"/>
      <w:bookmarkEnd w:id="1"/>
      <w:r w:rsidRPr="000819E9">
        <w:rPr>
          <w:lang w:val="en-AU"/>
        </w:rPr>
        <w:t>3GPP TSG-RAN WG1 NR Ad Hoc #3</w:t>
      </w:r>
      <w:r w:rsidRPr="000819E9">
        <w:rPr>
          <w:lang w:val="en-AU"/>
        </w:rPr>
        <w:tab/>
      </w:r>
      <w:r w:rsidR="000819E9" w:rsidRPr="000819E9">
        <w:rPr>
          <w:rFonts w:cs="Arial"/>
          <w:color w:val="000000"/>
        </w:rPr>
        <w:t>R1-1716604</w:t>
      </w:r>
    </w:p>
    <w:p w14:paraId="161050DA" w14:textId="77777777" w:rsidR="007A5B38" w:rsidRPr="007D4BC2" w:rsidRDefault="007A5B38" w:rsidP="007A5B38">
      <w:pPr>
        <w:pStyle w:val="3GPPHeader"/>
        <w:rPr>
          <w:lang w:val="en-AU"/>
        </w:rPr>
      </w:pPr>
      <w:r w:rsidRPr="007D4BC2">
        <w:rPr>
          <w:lang w:val="en-AU"/>
        </w:rPr>
        <w:t>Nagoya, Japan, 18th – 21st, September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1E10D6AC" w:rsidR="00E90E49" w:rsidRPr="00327997" w:rsidRDefault="003D3C45" w:rsidP="00327997">
      <w:pPr>
        <w:pStyle w:val="3GPPHeader"/>
      </w:pPr>
      <w:r w:rsidRPr="00327997">
        <w:t>Title:</w:t>
      </w:r>
      <w:r w:rsidR="00E90E49" w:rsidRPr="00327997">
        <w:tab/>
      </w:r>
      <w:r w:rsidR="007D4BC2">
        <w:t>NR UL power control framework</w:t>
      </w:r>
    </w:p>
    <w:p w14:paraId="2D554DE3" w14:textId="2B11071F" w:rsidR="00952A24" w:rsidRPr="00327997" w:rsidRDefault="00952A24" w:rsidP="00327997">
      <w:pPr>
        <w:pStyle w:val="3GPPHeader"/>
      </w:pPr>
      <w:r w:rsidRPr="00327997">
        <w:t>Agenda Item:</w:t>
      </w:r>
      <w:r w:rsidRPr="00327997">
        <w:tab/>
      </w:r>
      <w:r w:rsidR="007D4BC2">
        <w:t>6.7.1</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1F2B2B8D" w14:textId="3BF44418" w:rsidR="003A0E41" w:rsidRDefault="00BF7642" w:rsidP="0084513A">
      <w:pPr>
        <w:pStyle w:val="BodyText"/>
      </w:pPr>
      <w:r>
        <w:t xml:space="preserve">In this </w:t>
      </w:r>
      <w:r w:rsidR="00F566E3">
        <w:t>contribution,</w:t>
      </w:r>
      <w:r w:rsidR="0084513A">
        <w:t xml:space="preserve"> we </w:t>
      </w:r>
      <w:r w:rsidR="00684A26">
        <w:t xml:space="preserve">summarize </w:t>
      </w:r>
      <w:r w:rsidR="0084513A">
        <w:t xml:space="preserve">our view on the </w:t>
      </w:r>
      <w:r w:rsidR="00FF1F4A">
        <w:t>Power Control (</w:t>
      </w:r>
      <w:r w:rsidR="0084513A">
        <w:t>PC</w:t>
      </w:r>
      <w:r w:rsidR="00FF1F4A">
        <w:t>)</w:t>
      </w:r>
      <w:r w:rsidR="0084513A">
        <w:t xml:space="preserve"> framework in NR. </w:t>
      </w:r>
    </w:p>
    <w:p w14:paraId="5D3DDDFA" w14:textId="4D6B7D07" w:rsidR="007D4BC2" w:rsidRDefault="0084513A" w:rsidP="007D4BC2">
      <w:pPr>
        <w:pStyle w:val="Heading1"/>
      </w:pPr>
      <w:r>
        <w:t>Discussion</w:t>
      </w:r>
    </w:p>
    <w:p w14:paraId="63FA9305" w14:textId="77777777" w:rsidR="0084513A" w:rsidRDefault="0084513A" w:rsidP="0084513A">
      <w:pPr>
        <w:spacing w:after="180"/>
        <w:rPr>
          <w:rFonts w:eastAsia="MS Mincho" w:cs="Arial"/>
          <w:lang w:eastAsia="en-GB"/>
        </w:rPr>
      </w:pPr>
      <w:r w:rsidRPr="000845EF">
        <w:rPr>
          <w:rFonts w:eastAsia="MS Mincho" w:cs="Arial"/>
          <w:lang w:eastAsia="en-GB"/>
        </w:rPr>
        <w:t>In</w:t>
      </w:r>
      <w:r>
        <w:rPr>
          <w:rFonts w:eastAsia="MS Mincho" w:cs="Arial"/>
          <w:lang w:eastAsia="en-GB"/>
        </w:rPr>
        <w:t>,</w:t>
      </w:r>
      <w:r w:rsidRPr="000845EF">
        <w:rPr>
          <w:rFonts w:eastAsia="MS Mincho" w:cs="Arial"/>
          <w:lang w:eastAsia="en-GB"/>
        </w:rPr>
        <w:t xml:space="preserve"> for instance LTE release 10</w:t>
      </w:r>
      <w:r>
        <w:rPr>
          <w:rFonts w:eastAsia="MS Mincho" w:cs="Arial"/>
          <w:lang w:eastAsia="en-GB"/>
        </w:rPr>
        <w:t>,</w:t>
      </w:r>
      <w:r w:rsidRPr="000845EF">
        <w:rPr>
          <w:rFonts w:eastAsia="MS Mincho" w:cs="Arial"/>
          <w:lang w:eastAsia="en-GB"/>
        </w:rPr>
        <w:t xml:space="preserve"> the </w:t>
      </w:r>
      <w:r>
        <w:rPr>
          <w:rFonts w:eastAsia="MS Mincho" w:cs="Arial"/>
          <w:lang w:eastAsia="en-GB"/>
        </w:rPr>
        <w:t xml:space="preserve">UE is initially performing PC for PRACH using </w:t>
      </w:r>
    </w:p>
    <w:p w14:paraId="1EE717A9" w14:textId="77777777" w:rsidR="0084513A" w:rsidRDefault="0084513A" w:rsidP="0084513A">
      <w:pPr>
        <w:jc w:val="center"/>
        <w:rPr>
          <w:rFonts w:ascii="Verdana" w:hAnsi="Verdana"/>
        </w:rPr>
      </w:pPr>
      <w:r w:rsidRPr="00415E5C">
        <w:t>P</w:t>
      </w:r>
      <w:r w:rsidRPr="00415E5C">
        <w:rPr>
          <w:vertAlign w:val="subscript"/>
        </w:rPr>
        <w:t>PRACH</w:t>
      </w:r>
      <w:r w:rsidRPr="00415E5C">
        <w:t xml:space="preserve"> = min{</w:t>
      </w:r>
      <w:r w:rsidRPr="00415E5C">
        <w:rPr>
          <w:position w:val="-12"/>
        </w:rPr>
        <w:object w:dxaOrig="999" w:dyaOrig="320" w14:anchorId="69F982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5.75pt" o:ole="">
            <v:imagedata r:id="rId8" o:title=""/>
          </v:shape>
          <o:OLEObject Type="Embed" ProgID="Equation.3" ShapeID="_x0000_i1025" DrawAspect="Content" ObjectID="_1566673194" r:id="rId9"/>
        </w:object>
      </w:r>
      <w:r w:rsidRPr="00415E5C">
        <w:t xml:space="preserve">,  PREAMBLE_RECEIVED_TARGET_POWER + </w:t>
      </w:r>
      <w:r w:rsidRPr="00415E5C">
        <w:rPr>
          <w:position w:val="-10"/>
        </w:rPr>
        <w:object w:dxaOrig="380" w:dyaOrig="300" w14:anchorId="240E4EDE">
          <v:shape id="_x0000_i1026" type="#_x0000_t75" style="width:18.75pt;height:15pt" o:ole="">
            <v:imagedata r:id="rId10" o:title=""/>
          </v:shape>
          <o:OLEObject Type="Embed" ProgID="Equation.3" ShapeID="_x0000_i1026" DrawAspect="Content" ObjectID="_1566673195" r:id="rId11"/>
        </w:object>
      </w:r>
      <w:r w:rsidRPr="00415E5C" w:rsidDel="0070603B">
        <w:t xml:space="preserve"> </w:t>
      </w:r>
      <w:r w:rsidRPr="00415E5C">
        <w:t>}</w:t>
      </w:r>
      <w:r>
        <w:t xml:space="preserve">. </w:t>
      </w:r>
    </w:p>
    <w:p w14:paraId="22837701" w14:textId="77777777" w:rsidR="0084513A" w:rsidRPr="000845EF" w:rsidRDefault="0084513A" w:rsidP="0084513A">
      <w:pPr>
        <w:spacing w:after="180"/>
        <w:rPr>
          <w:rFonts w:eastAsia="MS Mincho" w:cs="Arial"/>
          <w:lang w:eastAsia="en-GB"/>
        </w:rPr>
      </w:pPr>
      <w:r>
        <w:rPr>
          <w:rFonts w:eastAsia="MS Mincho" w:cs="Arial"/>
          <w:lang w:eastAsia="en-GB"/>
        </w:rPr>
        <w:t>After a connection is established between the UE and the eNodeB the UE can be configured for performing UL PC also on PUCCH, PUSCH and SRS. S</w:t>
      </w:r>
      <w:r w:rsidRPr="000845EF">
        <w:rPr>
          <w:rFonts w:eastAsia="MS Mincho" w:cs="Arial"/>
          <w:lang w:eastAsia="en-GB"/>
        </w:rPr>
        <w:t xml:space="preserve">etting the UE Transmit power for a physical uplink control channel (PUCCH) transmission is </w:t>
      </w:r>
      <w:r>
        <w:rPr>
          <w:rFonts w:eastAsia="MS Mincho" w:cs="Arial"/>
          <w:lang w:eastAsia="en-GB"/>
        </w:rPr>
        <w:t>done from</w:t>
      </w:r>
    </w:p>
    <w:p w14:paraId="28791537" w14:textId="77777777" w:rsidR="0084513A" w:rsidRPr="000845EF" w:rsidRDefault="00E8167F" w:rsidP="0084513A">
      <w:pPr>
        <w:pStyle w:val="BodyText"/>
        <w:rPr>
          <w:rFonts w:cs="Arial"/>
        </w:rPr>
      </w:pPr>
      <m:oMathPara>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PUCCH</m:t>
              </m:r>
            </m:sub>
            <m:sup/>
          </m:sSubSup>
          <m:r>
            <w:rPr>
              <w:rFonts w:ascii="Cambria Math" w:hAnsi="Cambria Math" w:cs="Arial"/>
            </w:rPr>
            <m:t>=min</m:t>
          </m:r>
          <m:d>
            <m:dPr>
              <m:begChr m:val="{"/>
              <m:endChr m:val="}"/>
              <m:ctrlPr>
                <w:rPr>
                  <w:rFonts w:ascii="Cambria Math" w:hAnsi="Cambria Math" w:cs="Arial"/>
                  <w:i/>
                </w:rPr>
              </m:ctrlPr>
            </m:dPr>
            <m:e>
              <m:sSubSup>
                <m:sSubSupPr>
                  <m:ctrlPr>
                    <w:rPr>
                      <w:rFonts w:ascii="Cambria Math" w:hAnsi="Cambria Math" w:cs="Arial"/>
                      <w:i/>
                    </w:rPr>
                  </m:ctrlPr>
                </m:sSubSupPr>
                <m:e>
                  <m:sSubSup>
                    <m:sSubSupPr>
                      <m:ctrlPr>
                        <w:rPr>
                          <w:rFonts w:ascii="Cambria Math" w:hAnsi="Cambria Math" w:cs="Arial"/>
                          <w:i/>
                        </w:rPr>
                      </m:ctrlPr>
                    </m:sSubSupPr>
                    <m:e>
                      <m:r>
                        <w:rPr>
                          <w:rFonts w:ascii="Cambria Math" w:hAnsi="Cambria Math" w:cs="Arial"/>
                        </w:rPr>
                        <m:t>P</m:t>
                      </m:r>
                    </m:e>
                    <m:sub>
                      <m:r>
                        <w:rPr>
                          <w:rFonts w:ascii="Cambria Math" w:hAnsi="Cambria Math" w:cs="Arial"/>
                        </w:rPr>
                        <m:t>CMAX,c</m:t>
                      </m:r>
                    </m:sub>
                    <m:sup/>
                  </m:sSubSup>
                  <m:r>
                    <w:rPr>
                      <w:rFonts w:ascii="Cambria Math" w:hAnsi="Cambria Math" w:cs="Arial"/>
                    </w:rPr>
                    <m:t xml:space="preserve">, </m:t>
                  </m:r>
                  <m:sSubSup>
                    <m:sSubSupPr>
                      <m:ctrlPr>
                        <w:rPr>
                          <w:rFonts w:ascii="Cambria Math" w:hAnsi="Cambria Math" w:cs="Arial"/>
                          <w:i/>
                        </w:rPr>
                      </m:ctrlPr>
                    </m:sSubSupPr>
                    <m:e>
                      <m:r>
                        <w:rPr>
                          <w:rFonts w:ascii="Cambria Math" w:hAnsi="Cambria Math" w:cs="Arial"/>
                        </w:rPr>
                        <m:t>P</m:t>
                      </m:r>
                    </m:e>
                    <m:sub>
                      <m:r>
                        <w:rPr>
                          <w:rFonts w:ascii="Cambria Math" w:hAnsi="Cambria Math" w:cs="Arial"/>
                        </w:rPr>
                        <m:t>0,PUCCH</m:t>
                      </m:r>
                    </m:sub>
                    <m:sup/>
                  </m:sSubSup>
                  <m:r>
                    <w:rPr>
                      <w:rFonts w:ascii="Cambria Math" w:hAnsi="Cambria Math" w:cs="Arial"/>
                    </w:rPr>
                    <m:t>+PL</m:t>
                  </m:r>
                </m:e>
                <m:sub>
                  <m:r>
                    <w:rPr>
                      <w:rFonts w:ascii="Cambria Math" w:hAnsi="Cambria Math" w:cs="Arial"/>
                    </w:rPr>
                    <m:t>DL</m:t>
                  </m:r>
                </m:sub>
                <m:sup/>
              </m:sSubSup>
              <m:r>
                <w:rPr>
                  <w:rFonts w:ascii="Cambria Math" w:hAnsi="Cambria Math" w:cs="Arial"/>
                </w:rPr>
                <m:t>+</m:t>
              </m:r>
              <m:sSubSup>
                <m:sSubSupPr>
                  <m:ctrlPr>
                    <w:rPr>
                      <w:rFonts w:ascii="Cambria Math" w:hAnsi="Cambria Math" w:cs="Arial"/>
                      <w:i/>
                    </w:rPr>
                  </m:ctrlPr>
                </m:sSubSupPr>
                <m:e>
                  <m:r>
                    <m:rPr>
                      <m:sty m:val="p"/>
                    </m:rPr>
                    <w:rPr>
                      <w:rFonts w:ascii="Cambria Math" w:hAnsi="Cambria Math" w:cs="Arial"/>
                    </w:rPr>
                    <m:t>∇</m:t>
                  </m:r>
                </m:e>
                <m:sub>
                  <m:r>
                    <w:rPr>
                      <w:rFonts w:ascii="Cambria Math" w:hAnsi="Cambria Math" w:cs="Arial"/>
                    </w:rPr>
                    <m:t>Format</m:t>
                  </m:r>
                </m:sub>
                <m:sup/>
              </m:sSubSup>
              <m:r>
                <w:rPr>
                  <w:rFonts w:ascii="Cambria Math" w:hAnsi="Cambria Math" w:cs="Arial"/>
                </w:rPr>
                <m:t>+δ</m:t>
              </m:r>
            </m:e>
          </m:d>
        </m:oMath>
      </m:oMathPara>
    </w:p>
    <w:p w14:paraId="482FAD21" w14:textId="77777777" w:rsidR="0084513A" w:rsidRPr="000845EF" w:rsidRDefault="0084513A" w:rsidP="0084513A">
      <w:pPr>
        <w:pStyle w:val="BodyText"/>
        <w:rPr>
          <w:rFonts w:cs="Arial"/>
        </w:rPr>
      </w:pPr>
      <w:r w:rsidRPr="000845EF">
        <w:rPr>
          <w:rFonts w:cs="Arial"/>
        </w:rPr>
        <w:t xml:space="preserve">Here </w:t>
      </w: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PUCCH</m:t>
            </m:r>
          </m:sub>
          <m:sup/>
        </m:sSubSup>
      </m:oMath>
      <w:r w:rsidRPr="000845EF">
        <w:rPr>
          <w:rFonts w:cs="Arial"/>
        </w:rPr>
        <w:t xml:space="preserve"> is the transmit power to use in a given subframe and </w:t>
      </w:r>
      <m:oMath>
        <m:sSubSup>
          <m:sSubSupPr>
            <m:ctrlPr>
              <w:rPr>
                <w:rFonts w:ascii="Cambria Math" w:hAnsi="Cambria Math" w:cs="Arial"/>
                <w:i/>
              </w:rPr>
            </m:ctrlPr>
          </m:sSubSupPr>
          <m:e>
            <m:r>
              <w:rPr>
                <w:rFonts w:ascii="Cambria Math" w:hAnsi="Cambria Math" w:cs="Arial"/>
              </w:rPr>
              <m:t>PL</m:t>
            </m:r>
          </m:e>
          <m:sub>
            <m:r>
              <w:rPr>
                <w:rFonts w:ascii="Cambria Math" w:hAnsi="Cambria Math" w:cs="Arial"/>
              </w:rPr>
              <m:t>DL</m:t>
            </m:r>
          </m:sub>
          <m:sup/>
        </m:sSubSup>
      </m:oMath>
      <w:r w:rsidRPr="000845EF">
        <w:rPr>
          <w:rFonts w:cs="Arial"/>
        </w:rPr>
        <w:t xml:space="preserve"> is the pathloss estimated by the UE. For PUSCH one instead use the equation </w:t>
      </w:r>
    </w:p>
    <w:p w14:paraId="6811B622" w14:textId="77777777" w:rsidR="0084513A" w:rsidRPr="000845EF" w:rsidRDefault="00E8167F" w:rsidP="0084513A">
      <w:pPr>
        <w:pStyle w:val="BodyText"/>
        <w:rPr>
          <w:rFonts w:cs="Arial"/>
        </w:rPr>
      </w:pPr>
      <m:oMathPara>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PUSCH,c</m:t>
              </m:r>
            </m:sub>
            <m:sup/>
          </m:sSubSup>
          <m:r>
            <w:rPr>
              <w:rFonts w:ascii="Cambria Math" w:hAnsi="Cambria Math" w:cs="Arial"/>
            </w:rPr>
            <m:t>=min</m:t>
          </m:r>
          <m:d>
            <m:dPr>
              <m:begChr m:val="{"/>
              <m:endChr m:val="}"/>
              <m:ctrlPr>
                <w:rPr>
                  <w:rFonts w:ascii="Cambria Math" w:hAnsi="Cambria Math" w:cs="Arial"/>
                  <w:i/>
                </w:rPr>
              </m:ctrlPr>
            </m:dPr>
            <m:e>
              <m:sSubSup>
                <m:sSubSupPr>
                  <m:ctrlPr>
                    <w:rPr>
                      <w:rFonts w:ascii="Cambria Math" w:hAnsi="Cambria Math" w:cs="Arial"/>
                      <w:i/>
                    </w:rPr>
                  </m:ctrlPr>
                </m:sSubSupPr>
                <m:e>
                  <m:sSubSup>
                    <m:sSubSupPr>
                      <m:ctrlPr>
                        <w:rPr>
                          <w:rFonts w:ascii="Cambria Math" w:hAnsi="Cambria Math" w:cs="Arial"/>
                          <w:i/>
                        </w:rPr>
                      </m:ctrlPr>
                    </m:sSubSupPr>
                    <m:e>
                      <m:r>
                        <w:rPr>
                          <w:rFonts w:ascii="Cambria Math" w:hAnsi="Cambria Math" w:cs="Arial"/>
                        </w:rPr>
                        <m:t>P</m:t>
                      </m:r>
                    </m:e>
                    <m:sub>
                      <m:r>
                        <w:rPr>
                          <w:rFonts w:ascii="Cambria Math" w:hAnsi="Cambria Math" w:cs="Arial"/>
                        </w:rPr>
                        <m:t>CMAX,c</m:t>
                      </m:r>
                    </m:sub>
                    <m:sup/>
                  </m:sSubSup>
                  <m:r>
                    <w:rPr>
                      <w:rFonts w:ascii="Cambria Math" w:hAnsi="Cambria Math" w:cs="Arial"/>
                    </w:rPr>
                    <m:t>-</m:t>
                  </m:r>
                  <m:sSubSup>
                    <m:sSubSupPr>
                      <m:ctrlPr>
                        <w:rPr>
                          <w:rFonts w:ascii="Cambria Math" w:hAnsi="Cambria Math" w:cs="Arial"/>
                          <w:i/>
                        </w:rPr>
                      </m:ctrlPr>
                    </m:sSubSupPr>
                    <m:e>
                      <m:r>
                        <w:rPr>
                          <w:rFonts w:ascii="Cambria Math" w:hAnsi="Cambria Math" w:cs="Arial"/>
                        </w:rPr>
                        <m:t>P</m:t>
                      </m:r>
                    </m:e>
                    <m:sub>
                      <m:r>
                        <w:rPr>
                          <w:rFonts w:ascii="Cambria Math" w:hAnsi="Cambria Math" w:cs="Arial"/>
                        </w:rPr>
                        <m:t>PUCCH</m:t>
                      </m:r>
                    </m:sub>
                    <m:sup/>
                  </m:sSubSup>
                  <m:r>
                    <w:rPr>
                      <w:rFonts w:ascii="Cambria Math" w:hAnsi="Cambria Math" w:cs="Arial"/>
                    </w:rPr>
                    <m:t xml:space="preserve">, </m:t>
                  </m:r>
                  <m:sSubSup>
                    <m:sSubSupPr>
                      <m:ctrlPr>
                        <w:rPr>
                          <w:rFonts w:ascii="Cambria Math" w:hAnsi="Cambria Math" w:cs="Arial"/>
                          <w:i/>
                        </w:rPr>
                      </m:ctrlPr>
                    </m:sSubSupPr>
                    <m:e>
                      <m:r>
                        <w:rPr>
                          <w:rFonts w:ascii="Cambria Math" w:hAnsi="Cambria Math" w:cs="Arial"/>
                        </w:rPr>
                        <m:t>P</m:t>
                      </m:r>
                    </m:e>
                    <m:sub>
                      <m:r>
                        <w:rPr>
                          <w:rFonts w:ascii="Cambria Math" w:hAnsi="Cambria Math" w:cs="Arial"/>
                        </w:rPr>
                        <m:t>0,PUSCH</m:t>
                      </m:r>
                    </m:sub>
                    <m:sup/>
                  </m:sSubSup>
                  <m:r>
                    <w:rPr>
                      <w:rFonts w:ascii="Cambria Math" w:hAnsi="Cambria Math" w:cs="Arial"/>
                    </w:rPr>
                    <m:t>+αPL</m:t>
                  </m:r>
                </m:e>
                <m:sub>
                  <m:r>
                    <w:rPr>
                      <w:rFonts w:ascii="Cambria Math" w:hAnsi="Cambria Math" w:cs="Arial"/>
                    </w:rPr>
                    <m:t>DL</m:t>
                  </m:r>
                </m:sub>
                <m:sup/>
              </m:sSubSup>
              <m:r>
                <w:rPr>
                  <w:rFonts w:ascii="Cambria Math" w:hAnsi="Cambria Math" w:cs="Arial"/>
                </w:rPr>
                <m:t>+</m:t>
              </m:r>
              <m:sSubSup>
                <m:sSubSupPr>
                  <m:ctrlPr>
                    <w:rPr>
                      <w:rFonts w:ascii="Cambria Math" w:hAnsi="Cambria Math" w:cs="Arial"/>
                      <w:i/>
                    </w:rPr>
                  </m:ctrlPr>
                </m:sSubSupPr>
                <m:e>
                  <m:r>
                    <m:rPr>
                      <m:sty m:val="p"/>
                    </m:rPr>
                    <w:rPr>
                      <w:rFonts w:ascii="Cambria Math" w:hAnsi="Cambria Math" w:cs="Arial"/>
                    </w:rPr>
                    <m:t>10</m:t>
                  </m:r>
                  <m:sSubSup>
                    <m:sSubSupPr>
                      <m:ctrlPr>
                        <w:rPr>
                          <w:rFonts w:ascii="Cambria Math" w:hAnsi="Cambria Math" w:cs="Arial"/>
                        </w:rPr>
                      </m:ctrlPr>
                    </m:sSubSupPr>
                    <m:e>
                      <m:r>
                        <w:rPr>
                          <w:rFonts w:ascii="Cambria Math" w:hAnsi="Cambria Math" w:cs="Arial"/>
                        </w:rPr>
                        <m:t>log</m:t>
                      </m:r>
                    </m:e>
                    <m:sub>
                      <m:r>
                        <w:rPr>
                          <w:rFonts w:ascii="Cambria Math" w:hAnsi="Cambria Math" w:cs="Arial"/>
                        </w:rPr>
                        <m:t>10</m:t>
                      </m:r>
                    </m:sub>
                    <m:sup/>
                  </m:sSubSup>
                  <m:r>
                    <m:rPr>
                      <m:sty m:val="p"/>
                    </m:rPr>
                    <w:rPr>
                      <w:rFonts w:ascii="Cambria Math" w:hAnsi="Cambria Math" w:cs="Arial"/>
                    </w:rPr>
                    <m:t>M+∇</m:t>
                  </m:r>
                </m:e>
                <m:sub>
                  <m:r>
                    <w:rPr>
                      <w:rFonts w:ascii="Cambria Math" w:hAnsi="Cambria Math" w:cs="Arial"/>
                    </w:rPr>
                    <m:t>MCS</m:t>
                  </m:r>
                </m:sub>
                <m:sup/>
              </m:sSubSup>
              <m:r>
                <w:rPr>
                  <w:rFonts w:ascii="Cambria Math" w:hAnsi="Cambria Math" w:cs="Arial"/>
                </w:rPr>
                <m:t>+δ</m:t>
              </m:r>
            </m:e>
          </m:d>
        </m:oMath>
      </m:oMathPara>
    </w:p>
    <w:p w14:paraId="0A852CD1" w14:textId="77777777" w:rsidR="0084513A" w:rsidRDefault="0084513A" w:rsidP="0084513A">
      <w:pPr>
        <w:rPr>
          <w:rFonts w:cs="Arial"/>
        </w:rPr>
      </w:pPr>
      <w:r w:rsidRPr="000845EF">
        <w:rPr>
          <w:rFonts w:cs="Arial"/>
        </w:rPr>
        <w:t xml:space="preserve">where </w:t>
      </w:r>
      <w:r w:rsidRPr="000845EF">
        <w:rPr>
          <w:rFonts w:cs="Arial"/>
          <w:i/>
        </w:rPr>
        <w:t>c</w:t>
      </w:r>
      <w:r w:rsidRPr="000845EF">
        <w:rPr>
          <w:rFonts w:cs="Arial"/>
        </w:rPr>
        <w:t xml:space="preserve"> denotes the serving cell and </w:t>
      </w: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PUSCH,c</m:t>
            </m:r>
          </m:sub>
          <m:sup/>
        </m:sSubSup>
      </m:oMath>
      <w:r w:rsidRPr="000845EF">
        <w:rPr>
          <w:rFonts w:cs="Arial"/>
        </w:rPr>
        <w:t xml:space="preserve"> is the transmit power to use in a given subframe.</w:t>
      </w:r>
      <w:r>
        <w:rPr>
          <w:rFonts w:cs="Arial"/>
        </w:rPr>
        <w:t xml:space="preserve"> For SRS one defines </w:t>
      </w:r>
    </w:p>
    <w:p w14:paraId="32150812" w14:textId="77777777" w:rsidR="0084513A" w:rsidRDefault="0084513A" w:rsidP="0084513A">
      <w:pPr>
        <w:jc w:val="center"/>
        <w:rPr>
          <w:rFonts w:cs="Arial"/>
        </w:rPr>
      </w:pPr>
      <w:r w:rsidRPr="00415E5C">
        <w:rPr>
          <w:position w:val="-14"/>
        </w:rPr>
        <w:object w:dxaOrig="9220" w:dyaOrig="420" w14:anchorId="53F4735D">
          <v:shape id="_x0000_i1027" type="#_x0000_t75" style="width:352.5pt;height:17.25pt" o:ole="">
            <v:imagedata r:id="rId12" o:title=""/>
          </v:shape>
          <o:OLEObject Type="Embed" ProgID="Equation.3" ShapeID="_x0000_i1027" DrawAspect="Content" ObjectID="_1566673196" r:id="rId13"/>
        </w:object>
      </w:r>
      <w:r>
        <w:t xml:space="preserve">. </w:t>
      </w:r>
    </w:p>
    <w:p w14:paraId="6017B03A" w14:textId="21CB7C02" w:rsidR="009E1D9A" w:rsidRDefault="0084513A" w:rsidP="009E1D9A">
      <w:r>
        <w:t>For NR these designs need to be revisit</w:t>
      </w:r>
      <w:r w:rsidR="00FF1F4A">
        <w:t>ed</w:t>
      </w:r>
      <w:r>
        <w:t xml:space="preserve"> and we will provide a summary on our standpoint in this contribution. </w:t>
      </w:r>
    </w:p>
    <w:p w14:paraId="65F152EF" w14:textId="74EF2EE2" w:rsidR="00FB09E2" w:rsidRDefault="006F6B7C" w:rsidP="00C35B88">
      <w:pPr>
        <w:pStyle w:val="Heading1"/>
      </w:pPr>
      <w:r>
        <w:t>Beam specific PC in NR</w:t>
      </w:r>
    </w:p>
    <w:p w14:paraId="16E685EC" w14:textId="6251BEC9" w:rsidR="006F6B7C" w:rsidRDefault="006F6B7C" w:rsidP="006F6B7C">
      <w:r>
        <w:t xml:space="preserve">In our companion contribution </w:t>
      </w:r>
      <w:r w:rsidR="00792BA8">
        <w:t>[1]</w:t>
      </w:r>
      <w:r>
        <w:t xml:space="preserve"> we </w:t>
      </w:r>
      <w:r w:rsidR="00FF1F4A">
        <w:t xml:space="preserve">discuss </w:t>
      </w:r>
      <w:r>
        <w:t>that from a PC perspective</w:t>
      </w:r>
      <w:r w:rsidR="00FF1F4A">
        <w:t>, there</w:t>
      </w:r>
      <w:r>
        <w:t xml:space="preserve"> will exist a framework in beam management for connecting a </w:t>
      </w:r>
      <w:r>
        <w:rPr>
          <w:lang w:val="en-AU"/>
        </w:rPr>
        <w:t xml:space="preserve">UE TX and gNB RX beam pair </w:t>
      </w:r>
      <w:r>
        <w:t xml:space="preserve">to a RS </w:t>
      </w:r>
      <w:r w:rsidR="004F4BCE">
        <w:t>and an indicator state</w:t>
      </w:r>
      <w:r w:rsidR="00F566E3">
        <w:t xml:space="preserve">. There will also exist a </w:t>
      </w:r>
      <w:r>
        <w:t>way to communicate this indicator state to the UE from the gNB. Hence, these two abilities, introduced in beam management, does indeed relate to questions discussed in the area of PC</w:t>
      </w:r>
      <w:r w:rsidR="004F4BCE">
        <w:t xml:space="preserve"> and beam specific PC</w:t>
      </w:r>
      <w:r>
        <w:t>. R</w:t>
      </w:r>
      <w:r w:rsidR="004F4BCE">
        <w:t>eusing</w:t>
      </w:r>
      <w:r>
        <w:t xml:space="preserve"> </w:t>
      </w:r>
      <w:r w:rsidR="004F4BCE">
        <w:t>this framework</w:t>
      </w:r>
      <w:r>
        <w:t xml:space="preserve"> for PC would </w:t>
      </w:r>
      <w:r w:rsidR="004F4BCE">
        <w:t xml:space="preserve">therefore </w:t>
      </w:r>
      <w:r>
        <w:t>avoid redundant signalling and based on this we propose</w:t>
      </w:r>
    </w:p>
    <w:p w14:paraId="4C47102B" w14:textId="77777777" w:rsidR="00862EFA" w:rsidRDefault="00862EFA" w:rsidP="00862EFA">
      <w:pPr>
        <w:pStyle w:val="Proposal"/>
      </w:pPr>
      <w:bookmarkStart w:id="2" w:name="_Hlk492901698"/>
      <w:bookmarkStart w:id="3" w:name="_Toc492915004"/>
      <w:bookmarkStart w:id="4" w:name="_Toc492919824"/>
      <w:bookmarkStart w:id="5" w:name="_Toc492919912"/>
      <w:bookmarkStart w:id="6" w:name="_Toc492921280"/>
      <w:r>
        <w:t xml:space="preserve">For PUCCH PC, utilize the </w:t>
      </w:r>
      <w:r w:rsidRPr="00F7063A">
        <w:t>N-bit indicator field which provides a reference to a DL RS which is spatially QCL’d with at least one PDSCH DMRS port group</w:t>
      </w:r>
      <w:r>
        <w:t xml:space="preserve"> in order to define a corresponding beam specific PC-parameter-set </w:t>
      </w:r>
    </w:p>
    <w:p w14:paraId="5D442BF1" w14:textId="77777777" w:rsidR="00862EFA" w:rsidRDefault="00862EFA" w:rsidP="00862EFA">
      <w:pPr>
        <w:pStyle w:val="Proposal"/>
      </w:pPr>
      <w:r>
        <w:t>For a PUSCH transmission, the beam specific PC-parameter-set that the UE uses to set its transmit power is determined from the implicit/explicit beam indication provided to the UE for that transmission.</w:t>
      </w:r>
    </w:p>
    <w:p w14:paraId="68213A77" w14:textId="4F8B85E9" w:rsidR="00862EFA" w:rsidRDefault="00862EFA" w:rsidP="00862EFA">
      <w:pPr>
        <w:pStyle w:val="Proposal"/>
      </w:pPr>
      <w:r>
        <w:t xml:space="preserve">Reuse the implicit/explicit </w:t>
      </w:r>
      <w:r w:rsidR="008552E5">
        <w:t>beam</w:t>
      </w:r>
      <w:r>
        <w:t xml:space="preserve"> indication mechanisms defined for beam management purposes for PC purposes as much as possible to avoid specifying redundant signalling. </w:t>
      </w:r>
    </w:p>
    <w:bookmarkEnd w:id="2"/>
    <w:bookmarkEnd w:id="3"/>
    <w:bookmarkEnd w:id="4"/>
    <w:bookmarkEnd w:id="5"/>
    <w:bookmarkEnd w:id="6"/>
    <w:p w14:paraId="6B109D11" w14:textId="5F8E020B" w:rsidR="00C35B88" w:rsidRDefault="00C35B88" w:rsidP="00C35B88">
      <w:pPr>
        <w:pStyle w:val="Heading1"/>
      </w:pPr>
      <w:r>
        <w:lastRenderedPageBreak/>
        <w:t>Closed loop PC in NR</w:t>
      </w:r>
    </w:p>
    <w:p w14:paraId="6D626ECA" w14:textId="241B31DF" w:rsidR="00C35B88" w:rsidRDefault="00C35B88" w:rsidP="00C35B88">
      <w:pPr>
        <w:pStyle w:val="BodyText"/>
        <w:keepLines/>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jc w:val="left"/>
        <w:textAlignment w:val="auto"/>
      </w:pPr>
      <w:r>
        <w:rPr>
          <w:lang w:val="en-AU"/>
        </w:rPr>
        <w:t xml:space="preserve">The support of beam specific PC in NR </w:t>
      </w:r>
      <w:r>
        <w:t xml:space="preserve">raises the question whether also multiple closed loop processes should be active at the same time. We discuss this in our companion contribution </w:t>
      </w:r>
      <w:r w:rsidRPr="00303405">
        <w:t>[</w:t>
      </w:r>
      <w:r w:rsidR="00303405" w:rsidRPr="00303405">
        <w:t>2</w:t>
      </w:r>
      <w:r w:rsidRPr="00303405">
        <w:t>]</w:t>
      </w:r>
      <w:r>
        <w:t xml:space="preserve"> and conclude in the following proposal</w:t>
      </w:r>
      <w:bookmarkStart w:id="7" w:name="_Toc492484452"/>
      <w:bookmarkStart w:id="8" w:name="_Toc492494497"/>
      <w:bookmarkStart w:id="9" w:name="_Toc492586725"/>
      <w:r>
        <w:br/>
      </w:r>
    </w:p>
    <w:p w14:paraId="2F3DBAF2" w14:textId="167A502C" w:rsidR="00C35B88" w:rsidRPr="00ED2053" w:rsidRDefault="00C35B88" w:rsidP="00C35B88">
      <w:pPr>
        <w:pStyle w:val="Proposal"/>
      </w:pPr>
      <w:bookmarkStart w:id="10" w:name="_Toc492921284"/>
      <w:r>
        <w:t>Make a single closed loop process default and support multiple closed loop processes by configuration in case of beam specific PC.</w:t>
      </w:r>
      <w:bookmarkEnd w:id="7"/>
      <w:bookmarkEnd w:id="8"/>
      <w:bookmarkEnd w:id="9"/>
      <w:bookmarkEnd w:id="10"/>
      <w:r>
        <w:t xml:space="preserve"> </w:t>
      </w:r>
    </w:p>
    <w:p w14:paraId="07C09111" w14:textId="30E54E5A" w:rsidR="00C35B88" w:rsidRPr="00C35B88" w:rsidRDefault="00C35B88" w:rsidP="00C35B88">
      <w:pPr>
        <w:pStyle w:val="BodyText"/>
        <w:keepLines/>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jc w:val="left"/>
        <w:textAlignment w:val="auto"/>
      </w:pPr>
      <w:r>
        <w:rPr>
          <w:lang w:val="en-AU"/>
        </w:rPr>
        <w:t>Another important question for closed loop PC in NR is that new features introduced will imply that situations may occur when a TPC command has not been given in a long while. This may then lead to an outdated open loop if run</w:t>
      </w:r>
      <w:r w:rsidR="007C392E">
        <w:rPr>
          <w:lang w:val="en-AU"/>
        </w:rPr>
        <w:t>ning in aggregated mode. We</w:t>
      </w:r>
      <w:r>
        <w:rPr>
          <w:lang w:val="en-AU"/>
        </w:rPr>
        <w:t xml:space="preserve"> analyse this in </w:t>
      </w:r>
      <w:r w:rsidRPr="00303405">
        <w:t>[</w:t>
      </w:r>
      <w:r w:rsidR="00303405" w:rsidRPr="00303405">
        <w:t>2</w:t>
      </w:r>
      <w:r w:rsidRPr="00303405">
        <w:t>]</w:t>
      </w:r>
      <w:r>
        <w:t xml:space="preserve"> and conclude in the following proposal</w:t>
      </w:r>
      <w:r>
        <w:br/>
      </w:r>
    </w:p>
    <w:p w14:paraId="69489E18" w14:textId="67E87082" w:rsidR="00C35B88" w:rsidRPr="00C35B88" w:rsidRDefault="00C35B88" w:rsidP="009E1D9A">
      <w:pPr>
        <w:pStyle w:val="Proposal"/>
        <w:rPr>
          <w:lang w:val="en-AU"/>
        </w:rPr>
      </w:pPr>
      <w:bookmarkStart w:id="11" w:name="_Toc492484453"/>
      <w:bookmarkStart w:id="12" w:name="_Toc492494498"/>
      <w:bookmarkStart w:id="13" w:name="_Toc492586726"/>
      <w:bookmarkStart w:id="14" w:name="_Toc492921285"/>
      <w:r>
        <w:rPr>
          <w:lang w:val="en-AU"/>
        </w:rPr>
        <w:t>Support explicit reset of the closed loop PC part in case of aggregated mode.</w:t>
      </w:r>
      <w:bookmarkEnd w:id="11"/>
      <w:bookmarkEnd w:id="12"/>
      <w:bookmarkEnd w:id="13"/>
      <w:bookmarkEnd w:id="14"/>
      <w:r>
        <w:rPr>
          <w:lang w:val="en-AU"/>
        </w:rPr>
        <w:t xml:space="preserve">  </w:t>
      </w:r>
    </w:p>
    <w:p w14:paraId="7F952E3D" w14:textId="087FCAD3" w:rsidR="007D4BC2" w:rsidRPr="007D4BC2" w:rsidRDefault="009E1D9A" w:rsidP="007D4BC2">
      <w:pPr>
        <w:pStyle w:val="Heading1"/>
      </w:pPr>
      <w:r>
        <w:rPr>
          <w:lang w:val="en-AU"/>
        </w:rPr>
        <w:t>Power headroom reporting in NR</w:t>
      </w:r>
    </w:p>
    <w:p w14:paraId="6371A2AF" w14:textId="3F675DC3" w:rsidR="007D4BC2" w:rsidRPr="00480F1E" w:rsidRDefault="007D4BC2" w:rsidP="007D4BC2">
      <w:pPr>
        <w:rPr>
          <w:rFonts w:asciiTheme="minorHAnsi" w:eastAsia="MS Mincho" w:hAnsiTheme="minorHAnsi"/>
          <w:lang w:val="en-AU"/>
        </w:rPr>
      </w:pPr>
      <w:r>
        <w:rPr>
          <w:rFonts w:eastAsia="MS Mincho"/>
          <w:lang w:val="en-AU" w:eastAsia="ja-JP"/>
        </w:rPr>
        <w:t>T</w:t>
      </w:r>
      <w:r w:rsidRPr="003E366D">
        <w:rPr>
          <w:rFonts w:eastAsia="MS Mincho"/>
          <w:lang w:val="en-AU"/>
        </w:rPr>
        <w:t xml:space="preserve">he introduction of beam specific power control will result in that the PHR framework needs to be adapted accordingly. </w:t>
      </w:r>
      <w:r>
        <w:rPr>
          <w:rFonts w:eastAsia="MS Mincho"/>
          <w:lang w:val="en-AU"/>
        </w:rPr>
        <w:t>Two solutions have been discussed</w:t>
      </w:r>
      <w:r w:rsidRPr="00480F1E">
        <w:rPr>
          <w:rFonts w:asciiTheme="minorHAnsi" w:eastAsia="MS Mincho" w:hAnsiTheme="minorHAnsi"/>
          <w:lang w:val="en-AU"/>
        </w:rPr>
        <w:t xml:space="preserve">: </w:t>
      </w:r>
    </w:p>
    <w:p w14:paraId="197B0E02" w14:textId="77777777" w:rsidR="007D4BC2" w:rsidRPr="00260B74" w:rsidRDefault="007D4BC2" w:rsidP="007D4BC2">
      <w:pPr>
        <w:pStyle w:val="ListParagraph"/>
        <w:numPr>
          <w:ilvl w:val="0"/>
          <w:numId w:val="15"/>
        </w:numPr>
        <w:spacing w:line="259" w:lineRule="auto"/>
        <w:rPr>
          <w:rFonts w:ascii="Times New Roman" w:eastAsia="MS Mincho" w:hAnsi="Times New Roman"/>
          <w:szCs w:val="20"/>
          <w:lang w:val="en-AU" w:eastAsia="zh-CN"/>
        </w:rPr>
      </w:pPr>
      <w:r w:rsidRPr="00260B74">
        <w:rPr>
          <w:rFonts w:ascii="Times New Roman" w:eastAsia="MS Mincho" w:hAnsi="Times New Roman"/>
          <w:szCs w:val="20"/>
          <w:lang w:val="en-AU" w:eastAsia="zh-CN"/>
        </w:rPr>
        <w:t xml:space="preserve">one PHR per beam, or </w:t>
      </w:r>
    </w:p>
    <w:p w14:paraId="20D534ED" w14:textId="77777777" w:rsidR="007D4BC2" w:rsidRPr="00260B74" w:rsidRDefault="007D4BC2" w:rsidP="007D4BC2">
      <w:pPr>
        <w:pStyle w:val="ListParagraph"/>
        <w:numPr>
          <w:ilvl w:val="0"/>
          <w:numId w:val="15"/>
        </w:numPr>
        <w:spacing w:line="259" w:lineRule="auto"/>
        <w:rPr>
          <w:rFonts w:ascii="Times New Roman" w:eastAsia="MS Mincho" w:hAnsi="Times New Roman"/>
          <w:szCs w:val="20"/>
          <w:lang w:val="en-AU" w:eastAsia="zh-CN"/>
        </w:rPr>
      </w:pPr>
      <w:bookmarkStart w:id="15" w:name="_Hlk490041134"/>
      <w:r w:rsidRPr="00260B74">
        <w:rPr>
          <w:rFonts w:ascii="Times New Roman" w:eastAsia="MS Mincho" w:hAnsi="Times New Roman"/>
          <w:szCs w:val="20"/>
          <w:lang w:val="en-AU" w:eastAsia="zh-CN"/>
        </w:rPr>
        <w:t>PHR corresponds to the beam currently/last used for PUSCH</w:t>
      </w:r>
      <w:bookmarkEnd w:id="15"/>
      <w:r w:rsidRPr="00260B74">
        <w:rPr>
          <w:rFonts w:ascii="Times New Roman" w:eastAsia="MS Mincho" w:hAnsi="Times New Roman"/>
          <w:szCs w:val="20"/>
          <w:lang w:val="en-AU" w:eastAsia="zh-CN"/>
        </w:rPr>
        <w:t xml:space="preserve"> </w:t>
      </w:r>
    </w:p>
    <w:p w14:paraId="3C76F131" w14:textId="2EE9E1A8" w:rsidR="007D4BC2" w:rsidRDefault="007D4BC2" w:rsidP="003A0E41">
      <w:pPr>
        <w:rPr>
          <w:lang w:val="en-AU"/>
        </w:rPr>
      </w:pPr>
      <w:r>
        <w:rPr>
          <w:lang w:val="en-AU"/>
        </w:rPr>
        <w:t>We discuss the pros and cons of these two alternatives mote in [</w:t>
      </w:r>
      <w:r w:rsidR="00303405">
        <w:rPr>
          <w:lang w:val="en-AU"/>
        </w:rPr>
        <w:t>3</w:t>
      </w:r>
      <w:r>
        <w:rPr>
          <w:lang w:val="en-AU"/>
        </w:rPr>
        <w:t>] and propose the following</w:t>
      </w:r>
    </w:p>
    <w:p w14:paraId="6180B5FE" w14:textId="77777777" w:rsidR="007D4BC2" w:rsidRPr="003E366D" w:rsidRDefault="007D4BC2" w:rsidP="007D4BC2">
      <w:pPr>
        <w:pStyle w:val="Proposal"/>
        <w:overflowPunct/>
        <w:autoSpaceDE/>
        <w:autoSpaceDN/>
        <w:adjustRightInd/>
        <w:spacing w:after="160" w:line="259" w:lineRule="auto"/>
        <w:jc w:val="left"/>
        <w:textAlignment w:val="auto"/>
        <w:rPr>
          <w:lang w:val="en-AU"/>
        </w:rPr>
      </w:pPr>
      <w:bookmarkStart w:id="16" w:name="_Toc490054464"/>
      <w:bookmarkStart w:id="17" w:name="_Toc490057502"/>
      <w:bookmarkStart w:id="18" w:name="_Toc490114437"/>
      <w:bookmarkStart w:id="19" w:name="_Toc490214347"/>
      <w:bookmarkStart w:id="20" w:name="_Toc492459405"/>
      <w:bookmarkStart w:id="21" w:name="_Toc492921286"/>
      <w:r w:rsidRPr="003E366D">
        <w:rPr>
          <w:lang w:val="en-AU"/>
        </w:rPr>
        <w:t>In NR for beam specific power control PHR corresponds to the beam currently/last used for PUSCH</w:t>
      </w:r>
      <w:bookmarkEnd w:id="16"/>
      <w:bookmarkEnd w:id="17"/>
      <w:bookmarkEnd w:id="18"/>
      <w:bookmarkEnd w:id="19"/>
      <w:bookmarkEnd w:id="20"/>
      <w:bookmarkEnd w:id="21"/>
      <w:r w:rsidRPr="003E366D">
        <w:rPr>
          <w:lang w:val="en-AU"/>
        </w:rPr>
        <w:t xml:space="preserve"> </w:t>
      </w:r>
    </w:p>
    <w:p w14:paraId="5E2500CE" w14:textId="3D1E50A7" w:rsidR="007D4BC2" w:rsidRPr="007D4BC2" w:rsidRDefault="007D4BC2" w:rsidP="003A0E41">
      <w:pPr>
        <w:pStyle w:val="Proposal"/>
        <w:overflowPunct/>
        <w:autoSpaceDE/>
        <w:autoSpaceDN/>
        <w:adjustRightInd/>
        <w:spacing w:after="160" w:line="259" w:lineRule="auto"/>
        <w:jc w:val="left"/>
        <w:textAlignment w:val="auto"/>
        <w:rPr>
          <w:lang w:val="en-AU"/>
        </w:rPr>
      </w:pPr>
      <w:bookmarkStart w:id="22" w:name="_Toc490054465"/>
      <w:bookmarkStart w:id="23" w:name="_Toc490057503"/>
      <w:bookmarkStart w:id="24" w:name="_Toc490114438"/>
      <w:bookmarkStart w:id="25" w:name="_Toc490214348"/>
      <w:bookmarkStart w:id="26" w:name="_Toc492459406"/>
      <w:bookmarkStart w:id="27" w:name="_Toc492921287"/>
      <w:r w:rsidRPr="003E366D">
        <w:rPr>
          <w:lang w:val="en-AU"/>
        </w:rPr>
        <w:t>Given that the PHR corresponds to the beam currently/last used for PUSCH the PHR triggering conditions from LTE are reused in NR</w:t>
      </w:r>
      <w:bookmarkEnd w:id="22"/>
      <w:bookmarkEnd w:id="23"/>
      <w:bookmarkEnd w:id="24"/>
      <w:bookmarkEnd w:id="25"/>
      <w:bookmarkEnd w:id="26"/>
      <w:bookmarkEnd w:id="27"/>
    </w:p>
    <w:p w14:paraId="4E6A06C5" w14:textId="33195915" w:rsidR="008347FA" w:rsidRDefault="008347FA" w:rsidP="003A0E41">
      <w:pPr>
        <w:pStyle w:val="Heading1"/>
        <w:rPr>
          <w:lang w:val="en-AU"/>
        </w:rPr>
      </w:pPr>
      <w:r>
        <w:rPr>
          <w:lang w:val="en-AU"/>
        </w:rPr>
        <w:t>Service type specific UL PC</w:t>
      </w:r>
    </w:p>
    <w:p w14:paraId="492A4C83" w14:textId="7CC19F67" w:rsidR="008347FA" w:rsidRDefault="008347FA" w:rsidP="008347FA">
      <w:pPr>
        <w:rPr>
          <w:lang w:val="en-AU"/>
        </w:rPr>
      </w:pPr>
      <w:r>
        <w:rPr>
          <w:lang w:val="en-AU"/>
        </w:rPr>
        <w:t xml:space="preserve">There have been discussions on supporting service type specific PC by enabling for instance an extra power boost for a certain service type, for instance by setting a larger P0 for the </w:t>
      </w:r>
      <w:r w:rsidR="00FF1F4A">
        <w:rPr>
          <w:lang w:val="en-AU"/>
        </w:rPr>
        <w:t>PC-parameter-set</w:t>
      </w:r>
      <w:r>
        <w:rPr>
          <w:lang w:val="en-AU"/>
        </w:rPr>
        <w:t xml:space="preserve"> used </w:t>
      </w:r>
      <w:r w:rsidR="00C41B93">
        <w:rPr>
          <w:lang w:val="en-AU"/>
        </w:rPr>
        <w:t>by</w:t>
      </w:r>
      <w:r>
        <w:rPr>
          <w:lang w:val="en-AU"/>
        </w:rPr>
        <w:t xml:space="preserve"> this service type. This appears beneficial for in particular URLLC type of use cases and since this is an important use case for NR we find this motivated. However, since RAN1 will not make a distinction on different service types this would in our view rather be a RAN2 matter since it relates to how to muxing different logical channels. Based on this we propose</w:t>
      </w:r>
    </w:p>
    <w:p w14:paraId="78656777" w14:textId="7AC2CC27" w:rsidR="008347FA" w:rsidRDefault="008347FA" w:rsidP="008347FA">
      <w:pPr>
        <w:pStyle w:val="Proposal"/>
        <w:rPr>
          <w:lang w:val="en-AU"/>
        </w:rPr>
      </w:pPr>
      <w:bookmarkStart w:id="28" w:name="_Toc492921288"/>
      <w:r>
        <w:rPr>
          <w:lang w:val="en-AU"/>
        </w:rPr>
        <w:t>Support service type specific UL power control.</w:t>
      </w:r>
      <w:bookmarkEnd w:id="28"/>
      <w:r>
        <w:rPr>
          <w:lang w:val="en-AU"/>
        </w:rPr>
        <w:t xml:space="preserve"> </w:t>
      </w:r>
    </w:p>
    <w:p w14:paraId="4F0D26D6" w14:textId="5F151790" w:rsidR="008347FA" w:rsidRPr="008347FA" w:rsidRDefault="008347FA" w:rsidP="008347FA">
      <w:pPr>
        <w:pStyle w:val="Proposal"/>
        <w:rPr>
          <w:lang w:val="en-AU"/>
        </w:rPr>
      </w:pPr>
      <w:bookmarkStart w:id="29" w:name="_Toc492921289"/>
      <w:r>
        <w:rPr>
          <w:lang w:val="en-AU"/>
        </w:rPr>
        <w:t>If service type specific UL power control is supported send an LS to RAN2.</w:t>
      </w:r>
      <w:bookmarkEnd w:id="29"/>
      <w:r>
        <w:rPr>
          <w:lang w:val="en-AU"/>
        </w:rPr>
        <w:t xml:space="preserve"> </w:t>
      </w:r>
    </w:p>
    <w:p w14:paraId="56327F3C" w14:textId="63BFC15D" w:rsidR="00C01F33" w:rsidRPr="00CE0424" w:rsidRDefault="00C01F33" w:rsidP="003A0E41">
      <w:pPr>
        <w:pStyle w:val="Heading1"/>
      </w:pPr>
      <w:r w:rsidRPr="00CE0424">
        <w:t>Conclusion</w:t>
      </w:r>
      <w:r w:rsidR="00AE2FEB">
        <w:t>s</w:t>
      </w:r>
    </w:p>
    <w:p w14:paraId="381D7CD9" w14:textId="77777777" w:rsidR="008F5723"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 following:</w:t>
      </w:r>
      <w:r>
        <w:rPr>
          <w:b/>
          <w:bCs/>
        </w:rPr>
        <w:fldChar w:fldCharType="begin"/>
      </w:r>
      <w:r>
        <w:rPr>
          <w:b/>
          <w:bCs/>
        </w:rPr>
        <w:instrText xml:space="preserve"> TOC \f \n \p " " \t "Proposal,1" </w:instrText>
      </w:r>
      <w:r>
        <w:rPr>
          <w:b/>
          <w:bCs/>
        </w:rPr>
        <w:fldChar w:fldCharType="separate"/>
      </w:r>
    </w:p>
    <w:p w14:paraId="7CF85BE0" w14:textId="77777777" w:rsidR="008552E5" w:rsidRDefault="008552E5" w:rsidP="00260B74">
      <w:pPr>
        <w:pStyle w:val="Proposal"/>
        <w:numPr>
          <w:ilvl w:val="0"/>
          <w:numId w:val="16"/>
        </w:numPr>
        <w:tabs>
          <w:tab w:val="clear" w:pos="1304"/>
          <w:tab w:val="clear" w:pos="1701"/>
          <w:tab w:val="num" w:pos="1710"/>
        </w:tabs>
        <w:ind w:left="1710" w:hanging="1710"/>
      </w:pPr>
      <w:r>
        <w:t xml:space="preserve">For PUCCH PC, utilize the </w:t>
      </w:r>
      <w:r w:rsidRPr="00F7063A">
        <w:t>N-bit indicator field which provides a reference to a DL RS which is spatially QCL’d with at least one PDSCH DMRS port group</w:t>
      </w:r>
      <w:r>
        <w:t xml:space="preserve"> in order to define a corresponding beam specific PC-parameter-set </w:t>
      </w:r>
    </w:p>
    <w:p w14:paraId="5EE992DD" w14:textId="77777777" w:rsidR="008552E5" w:rsidRDefault="008552E5" w:rsidP="008552E5">
      <w:pPr>
        <w:pStyle w:val="Proposal"/>
      </w:pPr>
      <w:r>
        <w:t>For a PUSCH transmission, the beam specific PC-parameter-set that the UE uses to set its transmit power is determined from the implicit/explicit beam indication provided to the UE for that transmission.</w:t>
      </w:r>
    </w:p>
    <w:p w14:paraId="34E73316" w14:textId="6F26BD87" w:rsidR="008552E5" w:rsidRDefault="008552E5" w:rsidP="00260B74">
      <w:pPr>
        <w:pStyle w:val="Proposal"/>
      </w:pPr>
      <w:r>
        <w:t xml:space="preserve">Reuse the implicit/explicit beam indication mechanisms defined for beam management purposes for PC purposes as much as possible to avoid specifying redundant signalling. </w:t>
      </w:r>
    </w:p>
    <w:p w14:paraId="3A10295A" w14:textId="77777777" w:rsidR="008F5723" w:rsidRPr="008F5723" w:rsidRDefault="008F5723">
      <w:pPr>
        <w:pStyle w:val="TOC1"/>
        <w:rPr>
          <w:rFonts w:asciiTheme="minorHAnsi" w:eastAsiaTheme="minorEastAsia" w:hAnsiTheme="minorHAnsi" w:cstheme="minorBidi"/>
          <w:b w:val="0"/>
          <w:sz w:val="22"/>
          <w:lang w:val="en-AU" w:eastAsia="sv-FI"/>
        </w:rPr>
      </w:pPr>
      <w:r>
        <w:lastRenderedPageBreak/>
        <w:t>Proposal 5</w:t>
      </w:r>
      <w:r w:rsidRPr="008F5723">
        <w:rPr>
          <w:rFonts w:asciiTheme="minorHAnsi" w:eastAsiaTheme="minorEastAsia" w:hAnsiTheme="minorHAnsi" w:cstheme="minorBidi"/>
          <w:b w:val="0"/>
          <w:sz w:val="22"/>
          <w:lang w:val="en-AU" w:eastAsia="sv-FI"/>
        </w:rPr>
        <w:tab/>
      </w:r>
      <w:r>
        <w:t>Make a single closed loop process default and support multiple closed loop processes by configuration in case of beam specific PC.</w:t>
      </w:r>
    </w:p>
    <w:p w14:paraId="190F274E" w14:textId="77777777" w:rsidR="008F5723" w:rsidRPr="008F5723" w:rsidRDefault="008F5723">
      <w:pPr>
        <w:pStyle w:val="TOC1"/>
        <w:rPr>
          <w:rFonts w:asciiTheme="minorHAnsi" w:eastAsiaTheme="minorEastAsia" w:hAnsiTheme="minorHAnsi" w:cstheme="minorBidi"/>
          <w:b w:val="0"/>
          <w:sz w:val="22"/>
          <w:lang w:val="en-AU" w:eastAsia="sv-FI"/>
        </w:rPr>
      </w:pPr>
      <w:r w:rsidRPr="00485E0B">
        <w:rPr>
          <w:lang w:val="en-AU"/>
        </w:rPr>
        <w:t>Proposal 6</w:t>
      </w:r>
      <w:r w:rsidRPr="008F5723">
        <w:rPr>
          <w:rFonts w:asciiTheme="minorHAnsi" w:eastAsiaTheme="minorEastAsia" w:hAnsiTheme="minorHAnsi" w:cstheme="minorBidi"/>
          <w:b w:val="0"/>
          <w:sz w:val="22"/>
          <w:lang w:val="en-AU" w:eastAsia="sv-FI"/>
        </w:rPr>
        <w:tab/>
      </w:r>
      <w:r w:rsidRPr="00485E0B">
        <w:rPr>
          <w:lang w:val="en-AU"/>
        </w:rPr>
        <w:t>Support explicit reset of the closed loop PC part in case of aggregated mode.</w:t>
      </w:r>
    </w:p>
    <w:p w14:paraId="7563AB5B" w14:textId="77777777" w:rsidR="008F5723" w:rsidRPr="008F5723" w:rsidRDefault="008F5723">
      <w:pPr>
        <w:pStyle w:val="TOC1"/>
        <w:rPr>
          <w:rFonts w:asciiTheme="minorHAnsi" w:eastAsiaTheme="minorEastAsia" w:hAnsiTheme="minorHAnsi" w:cstheme="minorBidi"/>
          <w:b w:val="0"/>
          <w:sz w:val="22"/>
          <w:lang w:val="en-AU" w:eastAsia="sv-FI"/>
        </w:rPr>
      </w:pPr>
      <w:r w:rsidRPr="00485E0B">
        <w:rPr>
          <w:lang w:val="en-AU"/>
        </w:rPr>
        <w:t>Proposal 7</w:t>
      </w:r>
      <w:r w:rsidRPr="008F5723">
        <w:rPr>
          <w:rFonts w:asciiTheme="minorHAnsi" w:eastAsiaTheme="minorEastAsia" w:hAnsiTheme="minorHAnsi" w:cstheme="minorBidi"/>
          <w:b w:val="0"/>
          <w:sz w:val="22"/>
          <w:lang w:val="en-AU" w:eastAsia="sv-FI"/>
        </w:rPr>
        <w:tab/>
      </w:r>
      <w:r w:rsidRPr="00485E0B">
        <w:rPr>
          <w:lang w:val="en-AU"/>
        </w:rPr>
        <w:t>In NR for beam specific power control PHR corresponds to the beam currently/last used for PUSCH</w:t>
      </w:r>
    </w:p>
    <w:p w14:paraId="0BB1C1F7" w14:textId="77777777" w:rsidR="008F5723" w:rsidRPr="008F5723" w:rsidRDefault="008F5723">
      <w:pPr>
        <w:pStyle w:val="TOC1"/>
        <w:rPr>
          <w:rFonts w:asciiTheme="minorHAnsi" w:eastAsiaTheme="minorEastAsia" w:hAnsiTheme="minorHAnsi" w:cstheme="minorBidi"/>
          <w:b w:val="0"/>
          <w:sz w:val="22"/>
          <w:lang w:val="en-AU" w:eastAsia="sv-FI"/>
        </w:rPr>
      </w:pPr>
      <w:r w:rsidRPr="00485E0B">
        <w:rPr>
          <w:lang w:val="en-AU"/>
        </w:rPr>
        <w:t>Proposal 8</w:t>
      </w:r>
      <w:r w:rsidRPr="008F5723">
        <w:rPr>
          <w:rFonts w:asciiTheme="minorHAnsi" w:eastAsiaTheme="minorEastAsia" w:hAnsiTheme="minorHAnsi" w:cstheme="minorBidi"/>
          <w:b w:val="0"/>
          <w:sz w:val="22"/>
          <w:lang w:val="en-AU" w:eastAsia="sv-FI"/>
        </w:rPr>
        <w:tab/>
      </w:r>
      <w:r w:rsidRPr="00485E0B">
        <w:rPr>
          <w:lang w:val="en-AU"/>
        </w:rPr>
        <w:t>Given that the PHR corresponds to the beam currently/last used for PUSCH the PHR triggering conditions from LTE are reused in NR</w:t>
      </w:r>
    </w:p>
    <w:p w14:paraId="3D6AD69B" w14:textId="77777777" w:rsidR="008F5723" w:rsidRPr="008F5723" w:rsidRDefault="008F5723">
      <w:pPr>
        <w:pStyle w:val="TOC1"/>
        <w:rPr>
          <w:rFonts w:asciiTheme="minorHAnsi" w:eastAsiaTheme="minorEastAsia" w:hAnsiTheme="minorHAnsi" w:cstheme="minorBidi"/>
          <w:b w:val="0"/>
          <w:sz w:val="22"/>
          <w:lang w:val="en-AU" w:eastAsia="sv-FI"/>
        </w:rPr>
      </w:pPr>
      <w:r w:rsidRPr="00485E0B">
        <w:rPr>
          <w:lang w:val="en-AU"/>
        </w:rPr>
        <w:t>Proposal 9</w:t>
      </w:r>
      <w:r w:rsidRPr="008F5723">
        <w:rPr>
          <w:rFonts w:asciiTheme="minorHAnsi" w:eastAsiaTheme="minorEastAsia" w:hAnsiTheme="minorHAnsi" w:cstheme="minorBidi"/>
          <w:b w:val="0"/>
          <w:sz w:val="22"/>
          <w:lang w:val="en-AU" w:eastAsia="sv-FI"/>
        </w:rPr>
        <w:tab/>
      </w:r>
      <w:r w:rsidRPr="00485E0B">
        <w:rPr>
          <w:lang w:val="en-AU"/>
        </w:rPr>
        <w:t>Support service type specific UL power control.</w:t>
      </w:r>
    </w:p>
    <w:p w14:paraId="46B7C2CA" w14:textId="77777777" w:rsidR="008F5723" w:rsidRPr="008F5723" w:rsidRDefault="008F5723">
      <w:pPr>
        <w:pStyle w:val="TOC1"/>
        <w:rPr>
          <w:rFonts w:asciiTheme="minorHAnsi" w:eastAsiaTheme="minorEastAsia" w:hAnsiTheme="minorHAnsi" w:cstheme="minorBidi"/>
          <w:b w:val="0"/>
          <w:sz w:val="22"/>
          <w:lang w:val="en-AU" w:eastAsia="sv-FI"/>
        </w:rPr>
      </w:pPr>
      <w:r w:rsidRPr="00485E0B">
        <w:rPr>
          <w:lang w:val="en-AU"/>
        </w:rPr>
        <w:t>Proposal 10</w:t>
      </w:r>
      <w:r w:rsidRPr="008F5723">
        <w:rPr>
          <w:rFonts w:asciiTheme="minorHAnsi" w:eastAsiaTheme="minorEastAsia" w:hAnsiTheme="minorHAnsi" w:cstheme="minorBidi"/>
          <w:b w:val="0"/>
          <w:sz w:val="22"/>
          <w:lang w:val="en-AU" w:eastAsia="sv-FI"/>
        </w:rPr>
        <w:tab/>
      </w:r>
      <w:r w:rsidRPr="00485E0B">
        <w:rPr>
          <w:lang w:val="en-AU"/>
        </w:rPr>
        <w:t>If service type specific UL power control is supported send an LS to RAN2.</w:t>
      </w:r>
    </w:p>
    <w:p w14:paraId="60B357CF" w14:textId="5E4B64FA"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30" w:name="_In-sequence_SDU_delivery"/>
      <w:bookmarkEnd w:id="30"/>
      <w:r w:rsidRPr="00CE0424">
        <w:t>References</w:t>
      </w:r>
    </w:p>
    <w:p w14:paraId="3BC9304B" w14:textId="336CA058" w:rsidR="003A7EF3" w:rsidRDefault="00792BA8" w:rsidP="00303405">
      <w:pPr>
        <w:pStyle w:val="Reference"/>
      </w:pPr>
      <w:r>
        <w:t>R1-1716607, “</w:t>
      </w:r>
      <w:r w:rsidRPr="00792BA8">
        <w:t>Beam specific PC in NR</w:t>
      </w:r>
      <w:r>
        <w:t xml:space="preserve">”, </w:t>
      </w:r>
      <w:r w:rsidR="00303405">
        <w:t xml:space="preserve">Ericsson, </w:t>
      </w:r>
      <w:r w:rsidR="00303405" w:rsidRPr="000819E9">
        <w:rPr>
          <w:lang w:val="en-AU"/>
        </w:rPr>
        <w:t>3GPP TSG-RAN WG1 NR Ad Hoc #3</w:t>
      </w:r>
      <w:r w:rsidR="00303405">
        <w:rPr>
          <w:lang w:val="en-AU"/>
        </w:rPr>
        <w:t xml:space="preserve">, </w:t>
      </w:r>
      <w:r w:rsidR="00303405" w:rsidRPr="00303405">
        <w:rPr>
          <w:lang w:val="en-AU"/>
        </w:rPr>
        <w:t>Nagoya, Japan, 18th – 21st, September 2017</w:t>
      </w:r>
    </w:p>
    <w:p w14:paraId="193E0C2F" w14:textId="1FAEE93A" w:rsidR="00792BA8" w:rsidRDefault="00303405" w:rsidP="00303405">
      <w:pPr>
        <w:pStyle w:val="Reference"/>
      </w:pPr>
      <w:r w:rsidRPr="00303405">
        <w:t>R1-1716606</w:t>
      </w:r>
      <w:r>
        <w:t>,</w:t>
      </w:r>
      <w:r w:rsidRPr="00303405">
        <w:tab/>
      </w:r>
      <w:r>
        <w:t>“</w:t>
      </w:r>
      <w:r w:rsidRPr="00303405">
        <w:t>Closed loop PC in NR</w:t>
      </w:r>
      <w:r>
        <w:t xml:space="preserve">”, Ericsson, </w:t>
      </w:r>
      <w:r w:rsidRPr="000819E9">
        <w:rPr>
          <w:lang w:val="en-AU"/>
        </w:rPr>
        <w:t>3GPP TSG-RAN WG1 NR Ad Hoc #3</w:t>
      </w:r>
      <w:r>
        <w:rPr>
          <w:lang w:val="en-AU"/>
        </w:rPr>
        <w:t xml:space="preserve">, </w:t>
      </w:r>
      <w:r w:rsidRPr="00303405">
        <w:rPr>
          <w:lang w:val="en-AU"/>
        </w:rPr>
        <w:t>Nagoya, Japan, 18th – 21st, September 2017</w:t>
      </w:r>
    </w:p>
    <w:p w14:paraId="4053AF6A" w14:textId="6BA6A15E" w:rsidR="00303405" w:rsidRPr="00CE0424" w:rsidRDefault="00303405" w:rsidP="00303405">
      <w:pPr>
        <w:pStyle w:val="Reference"/>
      </w:pPr>
      <w:r w:rsidRPr="00303405">
        <w:t>R1-1716605</w:t>
      </w:r>
      <w:r>
        <w:t>,</w:t>
      </w:r>
      <w:r w:rsidRPr="00303405">
        <w:tab/>
      </w:r>
      <w:r>
        <w:t>“</w:t>
      </w:r>
      <w:r w:rsidRPr="00303405">
        <w:t>Power headroom reporting in NR</w:t>
      </w:r>
      <w:r>
        <w:t xml:space="preserve">”, Ericsson, </w:t>
      </w:r>
      <w:r w:rsidRPr="000819E9">
        <w:rPr>
          <w:lang w:val="en-AU"/>
        </w:rPr>
        <w:t>3GPP TSG-RAN WG1 NR Ad Hoc #3</w:t>
      </w:r>
      <w:r>
        <w:rPr>
          <w:lang w:val="en-AU"/>
        </w:rPr>
        <w:t xml:space="preserve">, </w:t>
      </w:r>
      <w:r w:rsidRPr="00303405">
        <w:rPr>
          <w:lang w:val="en-AU"/>
        </w:rPr>
        <w:t>Nagoya, Japan, 18th – 21st, September 2017</w:t>
      </w:r>
    </w:p>
    <w:sectPr w:rsidR="00303405" w:rsidRPr="00CE0424" w:rsidSect="00C02A4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1C861A" w14:textId="77777777" w:rsidR="00E8167F" w:rsidRDefault="00E8167F">
      <w:r>
        <w:separator/>
      </w:r>
    </w:p>
  </w:endnote>
  <w:endnote w:type="continuationSeparator" w:id="0">
    <w:p w14:paraId="0F725D78" w14:textId="77777777" w:rsidR="00E8167F" w:rsidRDefault="00E81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74F1C" w14:textId="77777777" w:rsidR="00077834" w:rsidRDefault="000778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22A14A4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7783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7834">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43988" w14:textId="77777777" w:rsidR="00077834" w:rsidRDefault="000778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1E3AF" w14:textId="77777777" w:rsidR="00E8167F" w:rsidRDefault="00E8167F">
      <w:r>
        <w:separator/>
      </w:r>
    </w:p>
  </w:footnote>
  <w:footnote w:type="continuationSeparator" w:id="0">
    <w:p w14:paraId="32C590B1" w14:textId="77777777" w:rsidR="00E8167F" w:rsidRDefault="00E81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8FDF0" w14:textId="77777777" w:rsidR="00077834" w:rsidRDefault="00077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F589A6" w14:textId="77777777" w:rsidR="00077834" w:rsidRDefault="00077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C762C0A"/>
    <w:multiLevelType w:val="hybridMultilevel"/>
    <w:tmpl w:val="9412ED8C"/>
    <w:lvl w:ilvl="0" w:tplc="081D0017">
      <w:start w:val="1"/>
      <w:numFmt w:val="lowerLetter"/>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8"/>
  </w:num>
  <w:num w:numId="15">
    <w:abstractNumId w:val="4"/>
  </w:num>
  <w:num w:numId="16">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4F7B"/>
    <w:rsid w:val="0005606A"/>
    <w:rsid w:val="00057117"/>
    <w:rsid w:val="000616E7"/>
    <w:rsid w:val="0006487E"/>
    <w:rsid w:val="00065E1A"/>
    <w:rsid w:val="00077834"/>
    <w:rsid w:val="00077E5F"/>
    <w:rsid w:val="0008036A"/>
    <w:rsid w:val="000819E9"/>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1D8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0B74"/>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2F69"/>
    <w:rsid w:val="002C41E6"/>
    <w:rsid w:val="002D071A"/>
    <w:rsid w:val="002D34B2"/>
    <w:rsid w:val="002D7637"/>
    <w:rsid w:val="002E17F2"/>
    <w:rsid w:val="002E7CAE"/>
    <w:rsid w:val="002F2771"/>
    <w:rsid w:val="002F37A9"/>
    <w:rsid w:val="002F6288"/>
    <w:rsid w:val="00301CE6"/>
    <w:rsid w:val="0030256B"/>
    <w:rsid w:val="00303405"/>
    <w:rsid w:val="00304084"/>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0E1C"/>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81451"/>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BCE"/>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17"/>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A26"/>
    <w:rsid w:val="006854F9"/>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6F6B7C"/>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2BA8"/>
    <w:rsid w:val="00793CD8"/>
    <w:rsid w:val="00795C92"/>
    <w:rsid w:val="00796231"/>
    <w:rsid w:val="007A1CB3"/>
    <w:rsid w:val="007A306F"/>
    <w:rsid w:val="007A43A6"/>
    <w:rsid w:val="007A58A6"/>
    <w:rsid w:val="007A5B38"/>
    <w:rsid w:val="007B3D2D"/>
    <w:rsid w:val="007B50AE"/>
    <w:rsid w:val="007B51DF"/>
    <w:rsid w:val="007B7374"/>
    <w:rsid w:val="007C05DD"/>
    <w:rsid w:val="007C392E"/>
    <w:rsid w:val="007C3D18"/>
    <w:rsid w:val="007C60BF"/>
    <w:rsid w:val="007C6A07"/>
    <w:rsid w:val="007C75A1"/>
    <w:rsid w:val="007C77A5"/>
    <w:rsid w:val="007D04E5"/>
    <w:rsid w:val="007D4BC2"/>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47FA"/>
    <w:rsid w:val="008376AC"/>
    <w:rsid w:val="008444E8"/>
    <w:rsid w:val="00844E80"/>
    <w:rsid w:val="0084513A"/>
    <w:rsid w:val="00846FE7"/>
    <w:rsid w:val="008552E5"/>
    <w:rsid w:val="00856911"/>
    <w:rsid w:val="00862EFA"/>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5723"/>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1D9A"/>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05C"/>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2ED5"/>
    <w:rsid w:val="00AC311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16A8D"/>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5B88"/>
    <w:rsid w:val="00C3719D"/>
    <w:rsid w:val="00C41B93"/>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558A"/>
    <w:rsid w:val="00CF625B"/>
    <w:rsid w:val="00CF687E"/>
    <w:rsid w:val="00D0349B"/>
    <w:rsid w:val="00D10249"/>
    <w:rsid w:val="00D115C3"/>
    <w:rsid w:val="00D11897"/>
    <w:rsid w:val="00D13135"/>
    <w:rsid w:val="00D13E4E"/>
    <w:rsid w:val="00D239A7"/>
    <w:rsid w:val="00D23F47"/>
    <w:rsid w:val="00D3353B"/>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167F"/>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1071"/>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66E3"/>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9E2"/>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1F4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A5B38"/>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7A5B3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A5B38"/>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A5B38"/>
    <w:pPr>
      <w:numPr>
        <w:ilvl w:val="2"/>
      </w:numPr>
      <w:spacing w:before="120"/>
      <w:outlineLvl w:val="2"/>
    </w:pPr>
    <w:rPr>
      <w:sz w:val="24"/>
      <w:szCs w:val="28"/>
    </w:rPr>
  </w:style>
  <w:style w:type="paragraph" w:styleId="Heading4">
    <w:name w:val="heading 4"/>
    <w:basedOn w:val="Heading3"/>
    <w:next w:val="Normal"/>
    <w:qFormat/>
    <w:rsid w:val="007A5B38"/>
    <w:pPr>
      <w:numPr>
        <w:ilvl w:val="3"/>
      </w:numPr>
      <w:outlineLvl w:val="3"/>
    </w:pPr>
    <w:rPr>
      <w:szCs w:val="24"/>
    </w:rPr>
  </w:style>
  <w:style w:type="paragraph" w:styleId="Heading5">
    <w:name w:val="heading 5"/>
    <w:basedOn w:val="Heading4"/>
    <w:next w:val="Normal"/>
    <w:qFormat/>
    <w:rsid w:val="007A5B38"/>
    <w:pPr>
      <w:numPr>
        <w:ilvl w:val="4"/>
      </w:numPr>
      <w:outlineLvl w:val="4"/>
    </w:pPr>
    <w:rPr>
      <w:sz w:val="22"/>
      <w:szCs w:val="22"/>
    </w:rPr>
  </w:style>
  <w:style w:type="paragraph" w:styleId="Heading6">
    <w:name w:val="heading 6"/>
    <w:basedOn w:val="Normal"/>
    <w:next w:val="Normal"/>
    <w:qFormat/>
    <w:rsid w:val="007A5B38"/>
    <w:pPr>
      <w:keepNext/>
      <w:keepLines/>
      <w:numPr>
        <w:ilvl w:val="5"/>
        <w:numId w:val="1"/>
      </w:numPr>
      <w:spacing w:before="120"/>
      <w:outlineLvl w:val="5"/>
    </w:pPr>
    <w:rPr>
      <w:rFonts w:cs="Arial"/>
    </w:rPr>
  </w:style>
  <w:style w:type="paragraph" w:styleId="Heading7">
    <w:name w:val="heading 7"/>
    <w:basedOn w:val="Normal"/>
    <w:next w:val="Normal"/>
    <w:qFormat/>
    <w:rsid w:val="007A5B38"/>
    <w:pPr>
      <w:keepNext/>
      <w:keepLines/>
      <w:numPr>
        <w:ilvl w:val="6"/>
        <w:numId w:val="1"/>
      </w:numPr>
      <w:spacing w:before="120"/>
      <w:outlineLvl w:val="6"/>
    </w:pPr>
    <w:rPr>
      <w:rFonts w:cs="Arial"/>
    </w:rPr>
  </w:style>
  <w:style w:type="paragraph" w:styleId="Heading8">
    <w:name w:val="heading 8"/>
    <w:basedOn w:val="Heading7"/>
    <w:next w:val="Normal"/>
    <w:qFormat/>
    <w:rsid w:val="007A5B38"/>
    <w:pPr>
      <w:numPr>
        <w:ilvl w:val="7"/>
      </w:numPr>
      <w:outlineLvl w:val="7"/>
    </w:pPr>
  </w:style>
  <w:style w:type="paragraph" w:styleId="Heading9">
    <w:name w:val="heading 9"/>
    <w:basedOn w:val="Heading8"/>
    <w:next w:val="Normal"/>
    <w:qFormat/>
    <w:rsid w:val="007A5B3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A5B38"/>
    <w:pPr>
      <w:spacing w:before="180"/>
      <w:ind w:left="2693" w:hanging="2693"/>
    </w:pPr>
    <w:rPr>
      <w:b w:val="0"/>
      <w:bCs/>
    </w:rPr>
  </w:style>
  <w:style w:type="paragraph" w:styleId="TOC1">
    <w:name w:val="toc 1"/>
    <w:aliases w:val="Observation TOC2"/>
    <w:uiPriority w:val="39"/>
    <w:rsid w:val="007A5B3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A5B38"/>
    <w:pPr>
      <w:keepNext/>
      <w:keepLines/>
      <w:spacing w:before="180"/>
      <w:jc w:val="center"/>
    </w:pPr>
  </w:style>
  <w:style w:type="paragraph" w:styleId="Caption">
    <w:name w:val="caption"/>
    <w:basedOn w:val="Normal"/>
    <w:next w:val="Normal"/>
    <w:qFormat/>
    <w:rsid w:val="007A5B38"/>
    <w:pPr>
      <w:spacing w:after="240"/>
      <w:jc w:val="center"/>
    </w:pPr>
    <w:rPr>
      <w:b/>
      <w:bCs/>
    </w:rPr>
  </w:style>
  <w:style w:type="paragraph" w:styleId="TOC5">
    <w:name w:val="toc 5"/>
    <w:aliases w:val="Observation TOC"/>
    <w:basedOn w:val="TOC4"/>
    <w:semiHidden/>
    <w:rsid w:val="007A5B38"/>
    <w:pPr>
      <w:tabs>
        <w:tab w:val="right" w:pos="1701"/>
      </w:tabs>
      <w:ind w:left="1701" w:hanging="1701"/>
    </w:pPr>
  </w:style>
  <w:style w:type="paragraph" w:styleId="TOC4">
    <w:name w:val="toc 4"/>
    <w:basedOn w:val="TOC3"/>
    <w:semiHidden/>
    <w:rsid w:val="007A5B38"/>
    <w:pPr>
      <w:ind w:left="1418" w:hanging="1418"/>
    </w:pPr>
  </w:style>
  <w:style w:type="paragraph" w:styleId="TOC3">
    <w:name w:val="toc 3"/>
    <w:basedOn w:val="TOC2"/>
    <w:semiHidden/>
    <w:rsid w:val="007A5B38"/>
    <w:pPr>
      <w:ind w:left="1134" w:hanging="1134"/>
    </w:pPr>
  </w:style>
  <w:style w:type="paragraph" w:styleId="TOC2">
    <w:name w:val="toc 2"/>
    <w:basedOn w:val="TOC1"/>
    <w:semiHidden/>
    <w:rsid w:val="007A5B38"/>
    <w:pPr>
      <w:keepNext w:val="0"/>
      <w:spacing w:before="0"/>
      <w:ind w:left="851" w:hanging="851"/>
    </w:pPr>
    <w:rPr>
      <w:szCs w:val="20"/>
    </w:rPr>
  </w:style>
  <w:style w:type="paragraph" w:styleId="Index2">
    <w:name w:val="index 2"/>
    <w:basedOn w:val="Index1"/>
    <w:semiHidden/>
    <w:rsid w:val="007A5B38"/>
    <w:pPr>
      <w:ind w:left="284"/>
    </w:pPr>
  </w:style>
  <w:style w:type="paragraph" w:styleId="Index1">
    <w:name w:val="index 1"/>
    <w:basedOn w:val="Normal"/>
    <w:semiHidden/>
    <w:rsid w:val="007A5B38"/>
    <w:pPr>
      <w:keepLines/>
      <w:spacing w:after="0"/>
    </w:pPr>
  </w:style>
  <w:style w:type="paragraph" w:styleId="DocumentMap">
    <w:name w:val="Document Map"/>
    <w:basedOn w:val="Normal"/>
    <w:semiHidden/>
    <w:rsid w:val="007A5B38"/>
    <w:pPr>
      <w:shd w:val="clear" w:color="auto" w:fill="000080"/>
    </w:pPr>
    <w:rPr>
      <w:rFonts w:ascii="Tahoma" w:hAnsi="Tahoma" w:cs="Tahoma"/>
    </w:rPr>
  </w:style>
  <w:style w:type="paragraph" w:styleId="ListNumber2">
    <w:name w:val="List Number 2"/>
    <w:basedOn w:val="ListNumber"/>
    <w:rsid w:val="007A5B38"/>
    <w:pPr>
      <w:ind w:left="851"/>
    </w:pPr>
  </w:style>
  <w:style w:type="paragraph" w:styleId="ListNumber">
    <w:name w:val="List Number"/>
    <w:basedOn w:val="List"/>
    <w:rsid w:val="007A5B38"/>
  </w:style>
  <w:style w:type="paragraph" w:styleId="List">
    <w:name w:val="List"/>
    <w:basedOn w:val="Normal"/>
    <w:rsid w:val="007A5B38"/>
    <w:pPr>
      <w:ind w:left="568" w:hanging="284"/>
    </w:pPr>
  </w:style>
  <w:style w:type="paragraph" w:styleId="Header">
    <w:name w:val="header"/>
    <w:rsid w:val="007A5B3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A5B38"/>
    <w:rPr>
      <w:b/>
      <w:bCs/>
      <w:position w:val="6"/>
      <w:sz w:val="16"/>
      <w:szCs w:val="16"/>
    </w:rPr>
  </w:style>
  <w:style w:type="paragraph" w:styleId="FootnoteText">
    <w:name w:val="footnote text"/>
    <w:basedOn w:val="Normal"/>
    <w:semiHidden/>
    <w:rsid w:val="007A5B38"/>
    <w:pPr>
      <w:keepLines/>
      <w:spacing w:after="0"/>
      <w:ind w:left="454" w:hanging="454"/>
    </w:pPr>
    <w:rPr>
      <w:sz w:val="16"/>
      <w:szCs w:val="16"/>
    </w:rPr>
  </w:style>
  <w:style w:type="paragraph" w:customStyle="1" w:styleId="3GPPHeader">
    <w:name w:val="3GPP_Header"/>
    <w:basedOn w:val="Normal"/>
    <w:qFormat/>
    <w:rsid w:val="007A5B38"/>
    <w:pPr>
      <w:tabs>
        <w:tab w:val="left" w:pos="1800"/>
        <w:tab w:val="right" w:pos="9360"/>
      </w:tabs>
      <w:spacing w:after="0"/>
    </w:pPr>
    <w:rPr>
      <w:rFonts w:ascii="Arial" w:hAnsi="Arial"/>
      <w:b/>
    </w:rPr>
  </w:style>
  <w:style w:type="paragraph" w:styleId="TOC9">
    <w:name w:val="toc 9"/>
    <w:basedOn w:val="TOC8"/>
    <w:semiHidden/>
    <w:rsid w:val="007A5B38"/>
    <w:pPr>
      <w:ind w:left="1418" w:hanging="1418"/>
    </w:pPr>
  </w:style>
  <w:style w:type="paragraph" w:styleId="TOC6">
    <w:name w:val="toc 6"/>
    <w:basedOn w:val="TOC5"/>
    <w:next w:val="Normal"/>
    <w:semiHidden/>
    <w:rsid w:val="007A5B38"/>
    <w:pPr>
      <w:ind w:left="1985" w:hanging="1985"/>
    </w:pPr>
  </w:style>
  <w:style w:type="paragraph" w:styleId="TOC7">
    <w:name w:val="toc 7"/>
    <w:basedOn w:val="TOC6"/>
    <w:next w:val="Normal"/>
    <w:semiHidden/>
    <w:rsid w:val="007A5B38"/>
    <w:pPr>
      <w:ind w:left="2268" w:hanging="2268"/>
    </w:pPr>
  </w:style>
  <w:style w:type="paragraph" w:styleId="ListBullet2">
    <w:name w:val="List Bullet 2"/>
    <w:basedOn w:val="ListBullet"/>
    <w:rsid w:val="007A5B38"/>
    <w:pPr>
      <w:numPr>
        <w:numId w:val="6"/>
      </w:numPr>
    </w:pPr>
  </w:style>
  <w:style w:type="paragraph" w:styleId="ListBullet">
    <w:name w:val="List Bullet"/>
    <w:basedOn w:val="BodyText"/>
    <w:rsid w:val="007A5B38"/>
    <w:pPr>
      <w:numPr>
        <w:numId w:val="5"/>
      </w:numPr>
    </w:pPr>
  </w:style>
  <w:style w:type="paragraph" w:styleId="ListBullet3">
    <w:name w:val="List Bullet 3"/>
    <w:basedOn w:val="ListBullet2"/>
    <w:rsid w:val="007A5B38"/>
    <w:pPr>
      <w:numPr>
        <w:numId w:val="7"/>
      </w:numPr>
    </w:pPr>
  </w:style>
  <w:style w:type="paragraph" w:customStyle="1" w:styleId="EQ">
    <w:name w:val="EQ"/>
    <w:basedOn w:val="Normal"/>
    <w:next w:val="Normal"/>
    <w:rsid w:val="007A5B38"/>
    <w:pPr>
      <w:keepLines/>
      <w:tabs>
        <w:tab w:val="center" w:pos="4536"/>
        <w:tab w:val="right" w:pos="9072"/>
      </w:tabs>
      <w:spacing w:after="180"/>
      <w:jc w:val="left"/>
    </w:pPr>
    <w:rPr>
      <w:noProof/>
      <w:lang w:eastAsia="en-US"/>
    </w:rPr>
  </w:style>
  <w:style w:type="paragraph" w:styleId="List2">
    <w:name w:val="List 2"/>
    <w:basedOn w:val="List"/>
    <w:rsid w:val="007A5B38"/>
    <w:pPr>
      <w:ind w:left="851"/>
    </w:pPr>
  </w:style>
  <w:style w:type="paragraph" w:styleId="List3">
    <w:name w:val="List 3"/>
    <w:basedOn w:val="List2"/>
    <w:rsid w:val="007A5B38"/>
    <w:pPr>
      <w:ind w:left="1135"/>
    </w:pPr>
  </w:style>
  <w:style w:type="paragraph" w:styleId="List4">
    <w:name w:val="List 4"/>
    <w:basedOn w:val="List3"/>
    <w:rsid w:val="007A5B38"/>
    <w:pPr>
      <w:ind w:left="1418"/>
    </w:pPr>
  </w:style>
  <w:style w:type="paragraph" w:styleId="List5">
    <w:name w:val="List 5"/>
    <w:basedOn w:val="List4"/>
    <w:rsid w:val="007A5B38"/>
    <w:pPr>
      <w:ind w:left="1702"/>
    </w:pPr>
  </w:style>
  <w:style w:type="paragraph" w:customStyle="1" w:styleId="EditorsNote">
    <w:name w:val="Editor's Note"/>
    <w:basedOn w:val="Normal"/>
    <w:rsid w:val="007A5B38"/>
    <w:pPr>
      <w:keepLines/>
      <w:spacing w:after="180"/>
      <w:ind w:left="1135" w:hanging="851"/>
      <w:jc w:val="left"/>
    </w:pPr>
    <w:rPr>
      <w:color w:val="FF0000"/>
      <w:lang w:eastAsia="en-US"/>
    </w:rPr>
  </w:style>
  <w:style w:type="paragraph" w:styleId="ListBullet4">
    <w:name w:val="List Bullet 4"/>
    <w:basedOn w:val="ListBullet3"/>
    <w:rsid w:val="007A5B38"/>
    <w:pPr>
      <w:numPr>
        <w:numId w:val="8"/>
      </w:numPr>
    </w:pPr>
  </w:style>
  <w:style w:type="paragraph" w:styleId="ListBullet5">
    <w:name w:val="List Bullet 5"/>
    <w:basedOn w:val="ListBullet4"/>
    <w:rsid w:val="007A5B38"/>
    <w:pPr>
      <w:numPr>
        <w:numId w:val="4"/>
      </w:numPr>
    </w:pPr>
  </w:style>
  <w:style w:type="paragraph" w:styleId="Footer">
    <w:name w:val="footer"/>
    <w:basedOn w:val="Header"/>
    <w:semiHidden/>
    <w:rsid w:val="007A5B38"/>
    <w:pPr>
      <w:jc w:val="center"/>
    </w:pPr>
    <w:rPr>
      <w:i/>
      <w:iCs/>
    </w:rPr>
  </w:style>
  <w:style w:type="paragraph" w:customStyle="1" w:styleId="Reference">
    <w:name w:val="Reference"/>
    <w:basedOn w:val="Normal"/>
    <w:qFormat/>
    <w:rsid w:val="007A5B38"/>
    <w:pPr>
      <w:numPr>
        <w:numId w:val="2"/>
      </w:numPr>
    </w:pPr>
  </w:style>
  <w:style w:type="paragraph" w:styleId="BalloonText">
    <w:name w:val="Balloon Text"/>
    <w:basedOn w:val="Normal"/>
    <w:semiHidden/>
    <w:rsid w:val="007A5B38"/>
    <w:rPr>
      <w:rFonts w:ascii="Tahoma" w:hAnsi="Tahoma" w:cs="Tahoma"/>
      <w:sz w:val="16"/>
      <w:szCs w:val="16"/>
    </w:rPr>
  </w:style>
  <w:style w:type="character" w:styleId="PageNumber">
    <w:name w:val="page number"/>
    <w:basedOn w:val="DefaultParagraphFont"/>
    <w:semiHidden/>
    <w:rsid w:val="007A5B38"/>
  </w:style>
  <w:style w:type="paragraph" w:styleId="BodyText">
    <w:name w:val="Body Text"/>
    <w:basedOn w:val="Normal"/>
    <w:link w:val="BodyTextChar"/>
    <w:qFormat/>
    <w:rsid w:val="007A5B38"/>
  </w:style>
  <w:style w:type="character" w:styleId="Hyperlink">
    <w:name w:val="Hyperlink"/>
    <w:uiPriority w:val="99"/>
    <w:rsid w:val="007A5B38"/>
    <w:rPr>
      <w:color w:val="0000FF"/>
      <w:u w:val="single"/>
      <w:lang w:val="en-GB"/>
    </w:rPr>
  </w:style>
  <w:style w:type="character" w:styleId="FollowedHyperlink">
    <w:name w:val="FollowedHyperlink"/>
    <w:semiHidden/>
    <w:rsid w:val="007A5B38"/>
    <w:rPr>
      <w:color w:val="FF0000"/>
      <w:u w:val="single"/>
    </w:rPr>
  </w:style>
  <w:style w:type="character" w:styleId="CommentReference">
    <w:name w:val="annotation reference"/>
    <w:semiHidden/>
    <w:rsid w:val="007A5B38"/>
    <w:rPr>
      <w:sz w:val="16"/>
      <w:szCs w:val="16"/>
    </w:rPr>
  </w:style>
  <w:style w:type="paragraph" w:styleId="CommentText">
    <w:name w:val="annotation text"/>
    <w:basedOn w:val="Normal"/>
    <w:semiHidden/>
    <w:rsid w:val="007A5B38"/>
  </w:style>
  <w:style w:type="paragraph" w:styleId="CommentSubject">
    <w:name w:val="annotation subject"/>
    <w:basedOn w:val="CommentText"/>
    <w:next w:val="CommentText"/>
    <w:semiHidden/>
    <w:rsid w:val="007A5B38"/>
    <w:rPr>
      <w:b/>
      <w:bCs/>
    </w:rPr>
  </w:style>
  <w:style w:type="character" w:customStyle="1" w:styleId="Heading1Char">
    <w:name w:val="Heading 1 Char"/>
    <w:link w:val="Heading1"/>
    <w:rsid w:val="007A5B38"/>
    <w:rPr>
      <w:rFonts w:ascii="Arial" w:hAnsi="Arial" w:cs="Arial"/>
      <w:sz w:val="32"/>
      <w:szCs w:val="36"/>
      <w:lang w:val="en-GB" w:eastAsia="zh-CN"/>
    </w:rPr>
  </w:style>
  <w:style w:type="paragraph" w:customStyle="1" w:styleId="B1">
    <w:name w:val="B1"/>
    <w:basedOn w:val="List"/>
    <w:rsid w:val="007A5B38"/>
    <w:pPr>
      <w:spacing w:after="180"/>
      <w:jc w:val="left"/>
    </w:pPr>
    <w:rPr>
      <w:lang w:eastAsia="en-US"/>
    </w:rPr>
  </w:style>
  <w:style w:type="paragraph" w:customStyle="1" w:styleId="B2">
    <w:name w:val="B2"/>
    <w:basedOn w:val="List2"/>
    <w:rsid w:val="007A5B38"/>
    <w:pPr>
      <w:spacing w:after="180"/>
      <w:jc w:val="left"/>
    </w:pPr>
    <w:rPr>
      <w:lang w:eastAsia="en-US"/>
    </w:rPr>
  </w:style>
  <w:style w:type="paragraph" w:customStyle="1" w:styleId="B3">
    <w:name w:val="B3"/>
    <w:basedOn w:val="List3"/>
    <w:rsid w:val="007A5B38"/>
    <w:pPr>
      <w:spacing w:after="180"/>
      <w:jc w:val="left"/>
    </w:pPr>
    <w:rPr>
      <w:lang w:eastAsia="en-US"/>
    </w:rPr>
  </w:style>
  <w:style w:type="paragraph" w:customStyle="1" w:styleId="B4">
    <w:name w:val="B4"/>
    <w:basedOn w:val="List4"/>
    <w:rsid w:val="007A5B38"/>
    <w:pPr>
      <w:spacing w:after="180"/>
      <w:jc w:val="left"/>
    </w:pPr>
    <w:rPr>
      <w:lang w:eastAsia="en-US"/>
    </w:rPr>
  </w:style>
  <w:style w:type="paragraph" w:customStyle="1" w:styleId="Proposal">
    <w:name w:val="Proposal"/>
    <w:basedOn w:val="Normal"/>
    <w:qFormat/>
    <w:rsid w:val="007A5B38"/>
    <w:pPr>
      <w:numPr>
        <w:numId w:val="3"/>
      </w:numPr>
      <w:tabs>
        <w:tab w:val="clear" w:pos="1304"/>
        <w:tab w:val="left" w:pos="1701"/>
      </w:tabs>
      <w:ind w:left="1701" w:hanging="1701"/>
    </w:pPr>
    <w:rPr>
      <w:b/>
      <w:bCs/>
    </w:rPr>
  </w:style>
  <w:style w:type="character" w:customStyle="1" w:styleId="BodyTextChar">
    <w:name w:val="Body Text Char"/>
    <w:link w:val="BodyText"/>
    <w:rsid w:val="007A5B38"/>
    <w:rPr>
      <w:rFonts w:ascii="Times New Roman" w:hAnsi="Times New Roman"/>
      <w:lang w:val="en-GB" w:eastAsia="zh-CN"/>
    </w:rPr>
  </w:style>
  <w:style w:type="paragraph" w:customStyle="1" w:styleId="B5">
    <w:name w:val="B5"/>
    <w:basedOn w:val="List5"/>
    <w:rsid w:val="007A5B38"/>
    <w:pPr>
      <w:spacing w:after="180"/>
      <w:jc w:val="left"/>
    </w:pPr>
    <w:rPr>
      <w:lang w:eastAsia="en-US"/>
    </w:rPr>
  </w:style>
  <w:style w:type="paragraph" w:customStyle="1" w:styleId="EX">
    <w:name w:val="EX"/>
    <w:basedOn w:val="Normal"/>
    <w:rsid w:val="007A5B38"/>
    <w:pPr>
      <w:keepLines/>
      <w:spacing w:after="180"/>
      <w:ind w:left="1702" w:hanging="1418"/>
      <w:jc w:val="left"/>
    </w:pPr>
    <w:rPr>
      <w:lang w:eastAsia="en-US"/>
    </w:rPr>
  </w:style>
  <w:style w:type="paragraph" w:customStyle="1" w:styleId="EW">
    <w:name w:val="EW"/>
    <w:basedOn w:val="EX"/>
    <w:rsid w:val="007A5B38"/>
    <w:pPr>
      <w:spacing w:after="0"/>
    </w:pPr>
  </w:style>
  <w:style w:type="paragraph" w:customStyle="1" w:styleId="TAL">
    <w:name w:val="TAL"/>
    <w:basedOn w:val="Normal"/>
    <w:rsid w:val="007A5B38"/>
    <w:pPr>
      <w:keepNext/>
      <w:keepLines/>
      <w:spacing w:after="0"/>
      <w:jc w:val="left"/>
    </w:pPr>
    <w:rPr>
      <w:sz w:val="18"/>
      <w:lang w:eastAsia="en-US"/>
    </w:rPr>
  </w:style>
  <w:style w:type="paragraph" w:customStyle="1" w:styleId="TAC">
    <w:name w:val="TAC"/>
    <w:basedOn w:val="TAL"/>
    <w:rsid w:val="007A5B38"/>
    <w:pPr>
      <w:jc w:val="center"/>
    </w:pPr>
  </w:style>
  <w:style w:type="paragraph" w:customStyle="1" w:styleId="TAH">
    <w:name w:val="TAH"/>
    <w:basedOn w:val="TAC"/>
    <w:rsid w:val="007A5B38"/>
    <w:rPr>
      <w:b/>
    </w:rPr>
  </w:style>
  <w:style w:type="paragraph" w:customStyle="1" w:styleId="TAN">
    <w:name w:val="TAN"/>
    <w:basedOn w:val="TAL"/>
    <w:rsid w:val="007A5B38"/>
    <w:pPr>
      <w:ind w:left="851" w:hanging="851"/>
    </w:pPr>
  </w:style>
  <w:style w:type="paragraph" w:customStyle="1" w:styleId="TAR">
    <w:name w:val="TAR"/>
    <w:basedOn w:val="TAL"/>
    <w:rsid w:val="007A5B38"/>
    <w:pPr>
      <w:jc w:val="right"/>
    </w:pPr>
  </w:style>
  <w:style w:type="paragraph" w:customStyle="1" w:styleId="TH">
    <w:name w:val="TH"/>
    <w:basedOn w:val="Normal"/>
    <w:rsid w:val="007A5B38"/>
    <w:pPr>
      <w:keepNext/>
      <w:keepLines/>
      <w:spacing w:before="60" w:after="180"/>
      <w:jc w:val="center"/>
    </w:pPr>
    <w:rPr>
      <w:b/>
      <w:lang w:eastAsia="en-US"/>
    </w:rPr>
  </w:style>
  <w:style w:type="paragraph" w:customStyle="1" w:styleId="TF">
    <w:name w:val="TF"/>
    <w:basedOn w:val="TH"/>
    <w:rsid w:val="007A5B38"/>
    <w:pPr>
      <w:keepNext w:val="0"/>
      <w:spacing w:before="0" w:after="240"/>
    </w:pPr>
  </w:style>
  <w:style w:type="paragraph" w:customStyle="1" w:styleId="TT">
    <w:name w:val="TT"/>
    <w:basedOn w:val="Heading1"/>
    <w:next w:val="Normal"/>
    <w:rsid w:val="007A5B38"/>
    <w:pPr>
      <w:numPr>
        <w:numId w:val="0"/>
      </w:numPr>
      <w:ind w:left="1134" w:hanging="1134"/>
      <w:outlineLvl w:val="9"/>
    </w:pPr>
    <w:rPr>
      <w:rFonts w:cs="Times New Roman"/>
      <w:szCs w:val="20"/>
      <w:lang w:eastAsia="en-US"/>
    </w:rPr>
  </w:style>
  <w:style w:type="paragraph" w:customStyle="1" w:styleId="ZA">
    <w:name w:val="ZA"/>
    <w:rsid w:val="007A5B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A5B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A5B3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A5B3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A5B38"/>
  </w:style>
  <w:style w:type="paragraph" w:customStyle="1" w:styleId="ZH">
    <w:name w:val="ZH"/>
    <w:rsid w:val="007A5B3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A5B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A5B38"/>
    <w:pPr>
      <w:framePr w:hRule="auto" w:wrap="notBeside" w:y="852"/>
    </w:pPr>
    <w:rPr>
      <w:i w:val="0"/>
      <w:sz w:val="40"/>
    </w:rPr>
  </w:style>
  <w:style w:type="paragraph" w:customStyle="1" w:styleId="ZU">
    <w:name w:val="ZU"/>
    <w:rsid w:val="007A5B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A5B38"/>
    <w:pPr>
      <w:framePr w:wrap="notBeside" w:y="16161"/>
    </w:pPr>
  </w:style>
  <w:style w:type="paragraph" w:customStyle="1" w:styleId="FP">
    <w:name w:val="FP"/>
    <w:basedOn w:val="Normal"/>
    <w:rsid w:val="007A5B38"/>
    <w:pPr>
      <w:spacing w:after="0"/>
      <w:jc w:val="left"/>
    </w:pPr>
    <w:rPr>
      <w:lang w:eastAsia="en-US"/>
    </w:rPr>
  </w:style>
  <w:style w:type="paragraph" w:customStyle="1" w:styleId="Observation">
    <w:name w:val="Observation"/>
    <w:basedOn w:val="Proposal"/>
    <w:qFormat/>
    <w:rsid w:val="007A5B38"/>
    <w:pPr>
      <w:numPr>
        <w:numId w:val="13"/>
      </w:numPr>
      <w:ind w:left="1701" w:hanging="1701"/>
    </w:pPr>
  </w:style>
  <w:style w:type="paragraph" w:styleId="TableofFigures">
    <w:name w:val="table of figures"/>
    <w:basedOn w:val="Normal"/>
    <w:next w:val="Normal"/>
    <w:uiPriority w:val="99"/>
    <w:rsid w:val="007A5B38"/>
    <w:pPr>
      <w:ind w:left="1418" w:hanging="1418"/>
      <w:jc w:val="left"/>
    </w:pPr>
    <w:rPr>
      <w:b/>
    </w:rPr>
  </w:style>
  <w:style w:type="paragraph" w:styleId="Index4">
    <w:name w:val="index 4"/>
    <w:basedOn w:val="Normal"/>
    <w:next w:val="Normal"/>
    <w:autoRedefine/>
    <w:rsid w:val="007A5B38"/>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styleId="PlaceholderText">
    <w:name w:val="Placeholder Text"/>
    <w:basedOn w:val="DefaultParagraphFont"/>
    <w:uiPriority w:val="99"/>
    <w:semiHidden/>
    <w:rsid w:val="008F572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0737775">
      <w:bodyDiv w:val="1"/>
      <w:marLeft w:val="0"/>
      <w:marRight w:val="0"/>
      <w:marTop w:val="0"/>
      <w:marBottom w:val="0"/>
      <w:divBdr>
        <w:top w:val="none" w:sz="0" w:space="0" w:color="auto"/>
        <w:left w:val="none" w:sz="0" w:space="0" w:color="auto"/>
        <w:bottom w:val="none" w:sz="0" w:space="0" w:color="auto"/>
        <w:right w:val="none" w:sz="0" w:space="0" w:color="auto"/>
      </w:divBdr>
    </w:div>
    <w:div w:id="137770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2CF5E-95A0-4808-9043-949C112AD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946</Words>
  <Characters>5394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2017-09-12T03:13:00Z</dcterms:created>
  <dcterms:modified xsi:type="dcterms:W3CDTF">2017-09-12T03:13:00Z</dcterms:modified>
</cp:coreProperties>
</file>